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1EEBF">
      <w:pPr>
        <w:jc w:val="center"/>
        <w:rPr>
          <w:rFonts w:ascii="黑体" w:hAnsi="黑体" w:eastAsia="黑体"/>
          <w:b/>
          <w:sz w:val="52"/>
          <w:szCs w:val="52"/>
        </w:rPr>
      </w:pPr>
    </w:p>
    <w:p w14:paraId="26F14A51">
      <w:pPr>
        <w:jc w:val="center"/>
        <w:rPr>
          <w:rFonts w:eastAsia="黑体"/>
          <w:b/>
          <w:sz w:val="52"/>
          <w:szCs w:val="52"/>
        </w:rPr>
      </w:pPr>
      <w:r>
        <w:rPr>
          <w:rFonts w:hint="eastAsia" w:ascii="黑体" w:hAnsi="黑体" w:eastAsia="黑体" w:cs="黑体"/>
          <w:b/>
          <w:bCs/>
          <w:i w:val="0"/>
          <w:iCs w:val="0"/>
          <w:color w:val="000000"/>
          <w:kern w:val="0"/>
          <w:sz w:val="52"/>
          <w:szCs w:val="52"/>
          <w:u w:val="none"/>
          <w:lang w:val="en-US" w:eastAsia="zh-CN" w:bidi="ar"/>
        </w:rPr>
        <w:t>四川安立通索桥工程有限公司废钢废油绳处置</w:t>
      </w:r>
      <w:r>
        <w:rPr>
          <w:rFonts w:hint="eastAsia" w:ascii="黑体" w:hAnsi="黑体" w:eastAsia="黑体"/>
          <w:b/>
          <w:sz w:val="52"/>
          <w:szCs w:val="52"/>
        </w:rPr>
        <w:t>招标</w:t>
      </w:r>
    </w:p>
    <w:p w14:paraId="40E80099"/>
    <w:p w14:paraId="4AC67017"/>
    <w:p w14:paraId="65E1FA55">
      <w:pPr>
        <w:pStyle w:val="7"/>
        <w:rPr>
          <w:lang w:val="en-US" w:bidi="ar-SA"/>
        </w:rPr>
      </w:pPr>
    </w:p>
    <w:p w14:paraId="26963047">
      <w:pPr>
        <w:pStyle w:val="7"/>
        <w:rPr>
          <w:lang w:val="en-US" w:bidi="ar-SA"/>
        </w:rPr>
      </w:pPr>
    </w:p>
    <w:p w14:paraId="38C6396D">
      <w:pPr>
        <w:pStyle w:val="7"/>
        <w:rPr>
          <w:lang w:val="en-US" w:bidi="ar-SA"/>
        </w:rPr>
      </w:pPr>
    </w:p>
    <w:p w14:paraId="4EB324CA">
      <w:pPr>
        <w:pStyle w:val="7"/>
        <w:rPr>
          <w:lang w:val="en-US" w:bidi="ar-SA"/>
        </w:rPr>
      </w:pPr>
    </w:p>
    <w:p w14:paraId="66F6D5ED">
      <w:pPr>
        <w:pStyle w:val="7"/>
        <w:rPr>
          <w:lang w:val="en-US" w:bidi="ar-SA"/>
        </w:rPr>
      </w:pPr>
    </w:p>
    <w:p w14:paraId="6F552F12"/>
    <w:p w14:paraId="44950A90">
      <w:pPr>
        <w:pStyle w:val="7"/>
        <w:rPr>
          <w:lang w:val="en-US" w:bidi="ar-SA"/>
        </w:rPr>
      </w:pPr>
    </w:p>
    <w:p w14:paraId="74E653BF">
      <w:pPr>
        <w:jc w:val="center"/>
        <w:rPr>
          <w:rFonts w:ascii="黑体" w:hAnsi="黑体" w:eastAsia="黑体"/>
          <w:sz w:val="52"/>
          <w:szCs w:val="52"/>
        </w:rPr>
      </w:pPr>
      <w:r>
        <w:rPr>
          <w:rFonts w:hint="eastAsia" w:ascii="黑体" w:hAnsi="黑体" w:eastAsia="黑体"/>
          <w:sz w:val="52"/>
          <w:szCs w:val="52"/>
        </w:rPr>
        <w:t>招标文件</w:t>
      </w:r>
    </w:p>
    <w:p w14:paraId="4DC22A98"/>
    <w:p w14:paraId="5F0128E6"/>
    <w:p w14:paraId="3D5DC479">
      <w:pPr>
        <w:jc w:val="center"/>
        <w:rPr>
          <w:rFonts w:hint="default" w:ascii="黑体" w:hAnsi="黑体" w:eastAsia="黑体"/>
          <w:sz w:val="32"/>
          <w:szCs w:val="32"/>
          <w:highlight w:val="yellow"/>
          <w:lang w:val="en-US" w:eastAsia="zh-CN"/>
        </w:rPr>
      </w:pPr>
      <w:r>
        <w:rPr>
          <w:rFonts w:hint="eastAsia" w:ascii="黑体" w:hAnsi="黑体" w:eastAsia="黑体"/>
          <w:sz w:val="32"/>
          <w:szCs w:val="32"/>
        </w:rPr>
        <w:t xml:space="preserve">招（议）标编号： </w:t>
      </w:r>
      <w:r>
        <w:rPr>
          <w:rFonts w:hint="eastAsia" w:ascii="黑体" w:hAnsi="黑体" w:eastAsia="黑体"/>
          <w:sz w:val="32"/>
          <w:szCs w:val="32"/>
          <w:lang w:val="en-US" w:eastAsia="zh-CN"/>
        </w:rPr>
        <w:t>ZB</w:t>
      </w:r>
      <w:r>
        <w:rPr>
          <w:rFonts w:hint="eastAsia" w:ascii="黑体" w:hAnsi="黑体" w:eastAsia="黑体"/>
          <w:sz w:val="32"/>
          <w:szCs w:val="32"/>
        </w:rPr>
        <w:t>-</w:t>
      </w:r>
      <w:r>
        <w:rPr>
          <w:rFonts w:hint="eastAsia" w:ascii="黑体" w:hAnsi="黑体" w:eastAsia="黑体"/>
          <w:sz w:val="32"/>
          <w:szCs w:val="32"/>
          <w:lang w:val="en-US" w:eastAsia="zh-CN"/>
        </w:rPr>
        <w:t>ALT</w:t>
      </w:r>
      <w:r>
        <w:rPr>
          <w:rFonts w:hint="eastAsia" w:ascii="黑体" w:hAnsi="黑体" w:eastAsia="黑体"/>
          <w:sz w:val="32"/>
          <w:szCs w:val="32"/>
        </w:rPr>
        <w:t>-</w:t>
      </w:r>
      <w:r>
        <w:rPr>
          <w:rFonts w:hint="eastAsia" w:ascii="黑体" w:hAnsi="黑体" w:eastAsia="黑体"/>
          <w:sz w:val="32"/>
          <w:szCs w:val="32"/>
          <w:highlight w:val="none"/>
        </w:rPr>
        <w:t>20</w:t>
      </w:r>
      <w:r>
        <w:rPr>
          <w:rFonts w:hint="eastAsia" w:ascii="黑体" w:hAnsi="黑体" w:eastAsia="黑体"/>
          <w:sz w:val="32"/>
          <w:szCs w:val="32"/>
          <w:highlight w:val="none"/>
          <w:lang w:val="en-US" w:eastAsia="zh-CN"/>
        </w:rPr>
        <w:t>241124</w:t>
      </w:r>
    </w:p>
    <w:p w14:paraId="72C6685C"/>
    <w:p w14:paraId="26019DEA"/>
    <w:p w14:paraId="6D9C2FD9">
      <w:pPr>
        <w:pStyle w:val="7"/>
        <w:rPr>
          <w:lang w:val="en-US" w:bidi="ar-SA"/>
        </w:rPr>
      </w:pPr>
    </w:p>
    <w:p w14:paraId="4411532A">
      <w:pPr>
        <w:pStyle w:val="7"/>
        <w:rPr>
          <w:lang w:val="en-US" w:bidi="ar-SA"/>
        </w:rPr>
      </w:pPr>
    </w:p>
    <w:p w14:paraId="3361EF5D">
      <w:pPr>
        <w:pStyle w:val="7"/>
        <w:rPr>
          <w:lang w:val="en-US" w:bidi="ar-SA"/>
        </w:rPr>
      </w:pPr>
    </w:p>
    <w:p w14:paraId="64DE2E4D">
      <w:pPr>
        <w:pStyle w:val="7"/>
        <w:rPr>
          <w:lang w:val="en-US" w:bidi="ar-SA"/>
        </w:rPr>
      </w:pPr>
    </w:p>
    <w:p w14:paraId="4959F3F2">
      <w:pPr>
        <w:pStyle w:val="7"/>
        <w:rPr>
          <w:lang w:val="en-US" w:bidi="ar-SA"/>
        </w:rPr>
      </w:pPr>
    </w:p>
    <w:p w14:paraId="1B077C8D">
      <w:pPr>
        <w:pStyle w:val="7"/>
        <w:rPr>
          <w:lang w:val="en-US" w:bidi="ar-SA"/>
        </w:rPr>
      </w:pPr>
    </w:p>
    <w:p w14:paraId="31AA38E4">
      <w:pPr>
        <w:pStyle w:val="7"/>
        <w:rPr>
          <w:lang w:val="en-US" w:bidi="ar-SA"/>
        </w:rPr>
      </w:pPr>
    </w:p>
    <w:p w14:paraId="55689950"/>
    <w:p w14:paraId="6EC6A797"/>
    <w:p w14:paraId="23D203A1"/>
    <w:p w14:paraId="30B275DC">
      <w:pPr>
        <w:pStyle w:val="6"/>
        <w:jc w:val="center"/>
        <w:rPr>
          <w:rFonts w:hint="default" w:ascii="黑体" w:hAnsi="黑体" w:eastAsia="黑体"/>
          <w:sz w:val="32"/>
          <w:szCs w:val="32"/>
          <w:lang w:val="en-US" w:eastAsia="zh-CN"/>
        </w:rPr>
      </w:pPr>
      <w:r>
        <w:rPr>
          <w:rFonts w:hint="eastAsia" w:ascii="黑体" w:hAnsi="黑体" w:eastAsia="黑体"/>
          <w:sz w:val="32"/>
          <w:szCs w:val="32"/>
        </w:rPr>
        <w:t>招标人：</w:t>
      </w:r>
      <w:r>
        <w:rPr>
          <w:rFonts w:hint="eastAsia" w:ascii="黑体" w:hAnsi="黑体" w:eastAsia="黑体"/>
          <w:sz w:val="32"/>
          <w:szCs w:val="32"/>
          <w:lang w:val="en-US" w:eastAsia="zh-CN"/>
        </w:rPr>
        <w:t>四川安立通索桥工程有限公司</w:t>
      </w:r>
    </w:p>
    <w:p w14:paraId="405A5547">
      <w:pPr>
        <w:jc w:val="center"/>
        <w:rPr>
          <w:rFonts w:eastAsia="黑体"/>
          <w:highlight w:val="none"/>
        </w:rPr>
      </w:pPr>
      <w:r>
        <w:rPr>
          <w:rFonts w:hint="eastAsia" w:ascii="黑体" w:hAnsi="黑体" w:eastAsia="黑体"/>
          <w:sz w:val="32"/>
          <w:szCs w:val="32"/>
          <w:highlight w:val="none"/>
        </w:rPr>
        <w:t>202</w:t>
      </w:r>
      <w:r>
        <w:rPr>
          <w:rFonts w:hint="eastAsia" w:ascii="黑体" w:hAnsi="黑体" w:eastAsia="黑体"/>
          <w:sz w:val="32"/>
          <w:szCs w:val="32"/>
          <w:highlight w:val="none"/>
          <w:lang w:val="en-US" w:eastAsia="zh-CN"/>
        </w:rPr>
        <w:t>4</w:t>
      </w:r>
      <w:r>
        <w:rPr>
          <w:rFonts w:hint="eastAsia" w:ascii="黑体" w:hAnsi="黑体" w:eastAsia="黑体"/>
          <w:sz w:val="32"/>
          <w:szCs w:val="32"/>
          <w:highlight w:val="none"/>
        </w:rPr>
        <w:t>年</w:t>
      </w:r>
      <w:r>
        <w:rPr>
          <w:rFonts w:hint="eastAsia" w:ascii="黑体" w:hAnsi="黑体" w:eastAsia="黑体"/>
          <w:sz w:val="32"/>
          <w:szCs w:val="32"/>
          <w:highlight w:val="none"/>
          <w:lang w:val="en-US" w:eastAsia="zh-CN"/>
        </w:rPr>
        <w:t>11</w:t>
      </w:r>
      <w:r>
        <w:rPr>
          <w:rFonts w:hint="eastAsia" w:ascii="黑体" w:hAnsi="黑体" w:eastAsia="黑体"/>
          <w:sz w:val="32"/>
          <w:szCs w:val="32"/>
          <w:highlight w:val="none"/>
        </w:rPr>
        <w:t>月</w:t>
      </w:r>
      <w:r>
        <w:rPr>
          <w:rFonts w:hint="eastAsia" w:ascii="黑体" w:hAnsi="黑体" w:eastAsia="黑体"/>
          <w:sz w:val="32"/>
          <w:szCs w:val="32"/>
          <w:highlight w:val="none"/>
          <w:lang w:val="en-US" w:eastAsia="zh-CN"/>
        </w:rPr>
        <w:t>24</w:t>
      </w:r>
      <w:r>
        <w:rPr>
          <w:rFonts w:hint="eastAsia" w:ascii="黑体" w:hAnsi="黑体" w:eastAsia="黑体"/>
          <w:sz w:val="32"/>
          <w:szCs w:val="32"/>
          <w:highlight w:val="none"/>
        </w:rPr>
        <w:t>日</w:t>
      </w:r>
    </w:p>
    <w:p w14:paraId="084BCD64"/>
    <w:p w14:paraId="56F99F47">
      <w:pPr>
        <w:pStyle w:val="7"/>
      </w:pPr>
    </w:p>
    <w:p w14:paraId="4A8525D1">
      <w:pPr>
        <w:widowControl/>
        <w:jc w:val="left"/>
        <w:rPr>
          <w:b/>
          <w:bCs/>
          <w:sz w:val="28"/>
          <w:szCs w:val="28"/>
        </w:rPr>
      </w:pPr>
      <w:r>
        <w:rPr>
          <w:b/>
          <w:bCs/>
          <w:sz w:val="28"/>
          <w:szCs w:val="28"/>
        </w:rPr>
        <w:br w:type="page"/>
      </w:r>
    </w:p>
    <w:p w14:paraId="275B8439">
      <w:pPr>
        <w:spacing w:line="360" w:lineRule="auto"/>
        <w:outlineLvl w:val="0"/>
        <w:rPr>
          <w:b/>
          <w:bCs/>
          <w:sz w:val="28"/>
          <w:szCs w:val="28"/>
        </w:rPr>
      </w:pPr>
      <w:r>
        <w:rPr>
          <w:rFonts w:hint="eastAsia"/>
          <w:b/>
          <w:bCs/>
          <w:sz w:val="28"/>
          <w:szCs w:val="28"/>
        </w:rPr>
        <w:t>第一部分  招标邀请函</w:t>
      </w:r>
    </w:p>
    <w:p w14:paraId="66198BAD">
      <w:pPr>
        <w:numPr>
          <w:ilvl w:val="0"/>
          <w:numId w:val="1"/>
        </w:numPr>
        <w:spacing w:line="360" w:lineRule="auto"/>
        <w:rPr>
          <w:sz w:val="24"/>
        </w:rPr>
      </w:pPr>
      <w:r>
        <w:rPr>
          <w:rFonts w:hint="eastAsia"/>
          <w:sz w:val="24"/>
        </w:rPr>
        <w:t>招标单位：</w:t>
      </w:r>
      <w:r>
        <w:rPr>
          <w:rFonts w:hint="eastAsia"/>
          <w:sz w:val="24"/>
          <w:lang w:eastAsia="zh-CN"/>
        </w:rPr>
        <w:t>四川安立通索桥工程有限公司</w:t>
      </w:r>
    </w:p>
    <w:p w14:paraId="3FE4CEC6">
      <w:pPr>
        <w:numPr>
          <w:ilvl w:val="0"/>
          <w:numId w:val="1"/>
        </w:numPr>
        <w:spacing w:line="360" w:lineRule="auto"/>
      </w:pPr>
      <w:r>
        <w:rPr>
          <w:rFonts w:hint="eastAsia"/>
          <w:sz w:val="24"/>
        </w:rPr>
        <w:t>招标单位地址：四川省德阳市图们江路29号</w:t>
      </w:r>
    </w:p>
    <w:p w14:paraId="68B9E85B">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招标项目名称：</w:t>
      </w:r>
      <w:r>
        <w:rPr>
          <w:rFonts w:hint="eastAsia"/>
          <w:sz w:val="24"/>
          <w:lang w:eastAsia="zh-CN"/>
        </w:rPr>
        <w:t>四川安立通索桥工程有限公司</w:t>
      </w:r>
      <w:r>
        <w:rPr>
          <w:rFonts w:hint="eastAsia"/>
          <w:color w:val="000000" w:themeColor="text1"/>
          <w:sz w:val="24"/>
          <w:lang w:val="en-US" w:eastAsia="zh-CN"/>
          <w14:textFill>
            <w14:solidFill>
              <w14:schemeClr w14:val="tx1"/>
            </w14:solidFill>
          </w14:textFill>
        </w:rPr>
        <w:t>废钢、废油绳处置。</w:t>
      </w:r>
    </w:p>
    <w:p w14:paraId="59D5F090">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招标内容：</w:t>
      </w:r>
    </w:p>
    <w:p w14:paraId="0D44F7BB">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、招标内容：</w:t>
      </w:r>
      <w:r>
        <w:rPr>
          <w:rFonts w:hint="eastAsia"/>
          <w:color w:val="000000" w:themeColor="text1"/>
          <w:sz w:val="24"/>
          <w:lang w:val="en-US" w:eastAsia="zh-CN"/>
          <w14:textFill>
            <w14:solidFill>
              <w14:schemeClr w14:val="tx1"/>
            </w14:solidFill>
          </w14:textFill>
        </w:rPr>
        <w:t>废钢、废油绳处置</w:t>
      </w:r>
      <w:r>
        <w:rPr>
          <w:rFonts w:hint="eastAsia"/>
          <w:color w:val="000000" w:themeColor="text1"/>
          <w:sz w:val="24"/>
          <w14:textFill>
            <w14:solidFill>
              <w14:schemeClr w14:val="tx1"/>
            </w14:solidFill>
          </w14:textFill>
        </w:rPr>
        <w:t>，参数详见附件《</w:t>
      </w:r>
      <w:r>
        <w:rPr>
          <w:rFonts w:hint="eastAsia"/>
          <w:color w:val="000000" w:themeColor="text1"/>
          <w:sz w:val="24"/>
          <w:lang w:val="en-US" w:eastAsia="zh-CN"/>
          <w14:textFill>
            <w14:solidFill>
              <w14:schemeClr w14:val="tx1"/>
            </w14:solidFill>
          </w14:textFill>
        </w:rPr>
        <w:t>询价</w:t>
      </w:r>
      <w:r>
        <w:rPr>
          <w:rFonts w:hint="eastAsia"/>
          <w:color w:val="000000" w:themeColor="text1"/>
          <w:sz w:val="24"/>
          <w14:textFill>
            <w14:solidFill>
              <w14:schemeClr w14:val="tx1"/>
            </w14:solidFill>
          </w14:textFill>
        </w:rPr>
        <w:t>表》</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投标人参与投标即表明已充分了解招标人本次招标物资的详细情况。</w:t>
      </w:r>
    </w:p>
    <w:p w14:paraId="22464E72">
      <w:pPr>
        <w:spacing w:line="360" w:lineRule="auto"/>
        <w:ind w:firstLine="480" w:firstLineChars="200"/>
        <w:rPr>
          <w:rFonts w:hint="eastAsia"/>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、计划</w:t>
      </w:r>
      <w:r>
        <w:rPr>
          <w:rFonts w:hint="eastAsia"/>
          <w:color w:val="000000" w:themeColor="text1"/>
          <w:sz w:val="24"/>
          <w:lang w:val="en-US" w:eastAsia="zh-CN"/>
          <w14:textFill>
            <w14:solidFill>
              <w14:schemeClr w14:val="tx1"/>
            </w14:solidFill>
          </w14:textFill>
        </w:rPr>
        <w:t>处置</w:t>
      </w:r>
      <w:r>
        <w:rPr>
          <w:rFonts w:hint="eastAsia"/>
          <w:color w:val="000000" w:themeColor="text1"/>
          <w:sz w:val="24"/>
          <w14:textFill>
            <w14:solidFill>
              <w14:schemeClr w14:val="tx1"/>
            </w14:solidFill>
          </w14:textFill>
        </w:rPr>
        <w:t>时间段：202</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12</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3日</w:t>
      </w:r>
      <w:r>
        <w:rPr>
          <w:rFonts w:hint="eastAsia"/>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12</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15日</w:t>
      </w:r>
    </w:p>
    <w:p w14:paraId="694605DA">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投标方付款</w:t>
      </w:r>
      <w:r>
        <w:rPr>
          <w:rFonts w:hint="eastAsia"/>
          <w:color w:val="000000" w:themeColor="text1"/>
          <w:sz w:val="24"/>
          <w14:textFill>
            <w14:solidFill>
              <w14:schemeClr w14:val="tx1"/>
            </w14:solidFill>
          </w14:textFill>
        </w:rPr>
        <w:t>方式：</w:t>
      </w:r>
    </w:p>
    <w:p w14:paraId="59E31F47">
      <w:pPr>
        <w:pStyle w:val="7"/>
        <w:spacing w:line="360" w:lineRule="auto"/>
        <w:ind w:firstLine="480" w:firstLineChars="200"/>
        <w:rPr>
          <w:sz w:val="24"/>
          <w:highlight w:val="yellow"/>
          <w:lang w:val="en-US"/>
        </w:rPr>
      </w:pPr>
      <w:r>
        <w:rPr>
          <w:rFonts w:hint="eastAsia"/>
          <w:sz w:val="24"/>
          <w:lang w:val="en-US"/>
        </w:rPr>
        <w:t>（1）</w:t>
      </w:r>
      <w:r>
        <w:rPr>
          <w:rFonts w:hint="eastAsia"/>
          <w:sz w:val="24"/>
        </w:rPr>
        <w:t>当次装车，当次结算，当次付款（需付款后方能出将货物运出厂区）</w:t>
      </w:r>
    </w:p>
    <w:p w14:paraId="34A0D7B9">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投标人资格要求：</w:t>
      </w:r>
      <w:r>
        <w:rPr>
          <w:rFonts w:hint="eastAsia" w:ascii="宋体" w:hAnsi="宋体" w:cs="宋体"/>
          <w:sz w:val="24"/>
        </w:rPr>
        <w:t>具有独立法人资格，持有效</w:t>
      </w:r>
      <w:bookmarkStart w:id="0" w:name="_GoBack"/>
      <w:bookmarkEnd w:id="0"/>
      <w:r>
        <w:rPr>
          <w:rFonts w:hint="eastAsia" w:ascii="宋体" w:hAnsi="宋体" w:cs="宋体"/>
          <w:sz w:val="24"/>
        </w:rPr>
        <w:t>的营业执照</w:t>
      </w:r>
      <w:r>
        <w:rPr>
          <w:rFonts w:hint="eastAsia"/>
          <w:sz w:val="24"/>
        </w:rPr>
        <w:t>。</w:t>
      </w:r>
    </w:p>
    <w:p w14:paraId="2AEAA05E">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投标文件递交：</w:t>
      </w:r>
    </w:p>
    <w:p w14:paraId="56C6E293">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、本次采购采用“线上”邮件方式提交投标文件，邮箱地址为：</w:t>
      </w:r>
      <w:r>
        <w:rPr>
          <w:rFonts w:hint="eastAsia" w:ascii="宋体" w:hAnsi="宋体" w:eastAsia="宋体" w:cs="宋体"/>
          <w:sz w:val="24"/>
          <w:szCs w:val="24"/>
        </w:rPr>
        <w:t>scxtygq@126.com</w:t>
      </w:r>
      <w:r>
        <w:rPr>
          <w:rFonts w:hint="eastAsia"/>
          <w:color w:val="000000" w:themeColor="text1"/>
          <w:sz w:val="24"/>
          <w14:textFill>
            <w14:solidFill>
              <w14:schemeClr w14:val="tx1"/>
            </w14:solidFill>
          </w14:textFill>
        </w:rPr>
        <w:t>。</w:t>
      </w:r>
    </w:p>
    <w:p w14:paraId="322355A5">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2、开标时间、地址：</w:t>
      </w:r>
      <w:r>
        <w:rPr>
          <w:rFonts w:hint="eastAsia"/>
          <w:color w:val="000000" w:themeColor="text1"/>
          <w:sz w:val="24"/>
          <w:highlight w:val="none"/>
          <w14:textFill>
            <w14:solidFill>
              <w14:schemeClr w14:val="tx1"/>
            </w14:solidFill>
          </w14:textFill>
        </w:rPr>
        <w:t>202</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12</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日上午</w:t>
      </w:r>
      <w:r>
        <w:rPr>
          <w:rFonts w:hint="eastAsia"/>
          <w:color w:val="000000" w:themeColor="text1"/>
          <w:sz w:val="24"/>
          <w:highlight w:val="none"/>
          <w:lang w:val="en-US" w:eastAsia="zh-CN"/>
          <w14:textFill>
            <w14:solidFill>
              <w14:schemeClr w14:val="tx1"/>
            </w14:solidFill>
          </w14:textFill>
        </w:rPr>
        <w:t>10</w:t>
      </w:r>
      <w:r>
        <w:rPr>
          <w:rFonts w:hint="eastAsia"/>
          <w:color w:val="000000" w:themeColor="text1"/>
          <w:sz w:val="24"/>
          <w:highlight w:val="none"/>
          <w14:textFill>
            <w14:solidFill>
              <w14:schemeClr w14:val="tx1"/>
            </w14:solidFill>
          </w14:textFill>
        </w:rPr>
        <w:t>:0</w:t>
      </w:r>
      <w:r>
        <w:rPr>
          <w:rFonts w:hint="eastAsia"/>
          <w:color w:val="000000" w:themeColor="text1"/>
          <w:sz w:val="24"/>
          <w14:textFill>
            <w14:solidFill>
              <w14:schemeClr w14:val="tx1"/>
            </w14:solidFill>
          </w14:textFill>
        </w:rPr>
        <w:t>0，兴天元钢桥</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办公室。</w:t>
      </w:r>
    </w:p>
    <w:p w14:paraId="686414BB">
      <w:pPr>
        <w:pStyle w:val="7"/>
        <w:spacing w:line="360" w:lineRule="auto"/>
        <w:ind w:firstLine="480" w:firstLineChars="200"/>
        <w:rPr>
          <w:color w:val="000000" w:themeColor="text1"/>
          <w:sz w:val="24"/>
          <w:lang w:val="en-US"/>
          <w14:textFill>
            <w14:solidFill>
              <w14:schemeClr w14:val="tx1"/>
            </w14:solidFill>
          </w14:textFill>
        </w:rPr>
      </w:pPr>
      <w:r>
        <w:rPr>
          <w:color w:val="000000" w:themeColor="text1"/>
          <w:sz w:val="24"/>
          <w:lang w:val="en-US"/>
          <w14:textFill>
            <w14:solidFill>
              <w14:schemeClr w14:val="tx1"/>
            </w14:solidFill>
          </w14:textFill>
        </w:rPr>
        <w:t>3</w:t>
      </w:r>
      <w:r>
        <w:rPr>
          <w:rFonts w:hint="eastAsia"/>
          <w:color w:val="000000" w:themeColor="text1"/>
          <w:sz w:val="24"/>
          <w:lang w:val="en-US"/>
          <w14:textFill>
            <w14:solidFill>
              <w14:schemeClr w14:val="tx1"/>
            </w14:solidFill>
          </w14:textFill>
        </w:rPr>
        <w:t>、投标人需在开标时间之前将投标报价文件（盖章扫描）发送至上述邮箱，逾期送达的，视为无效。</w:t>
      </w:r>
    </w:p>
    <w:p w14:paraId="0DE5BB08">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val="en-US" w:eastAsia="zh-CN"/>
          <w14:textFill>
            <w14:solidFill>
              <w14:schemeClr w14:val="tx1"/>
            </w14:solidFill>
          </w14:textFill>
        </w:rPr>
        <w:t>马骏</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15181000142</w:t>
      </w:r>
    </w:p>
    <w:p w14:paraId="21FCB66C">
      <w:pPr>
        <w:widowControl/>
        <w:jc w:val="left"/>
        <w:rPr>
          <w:b/>
          <w:bCs/>
          <w:sz w:val="28"/>
          <w:szCs w:val="28"/>
        </w:rPr>
      </w:pPr>
      <w:r>
        <w:rPr>
          <w:b/>
          <w:bCs/>
          <w:sz w:val="28"/>
          <w:szCs w:val="28"/>
        </w:rPr>
        <w:br w:type="page"/>
      </w:r>
    </w:p>
    <w:p w14:paraId="03224330">
      <w:pPr>
        <w:spacing w:line="360" w:lineRule="auto"/>
        <w:outlineLvl w:val="0"/>
        <w:rPr>
          <w:b/>
          <w:bCs/>
          <w:sz w:val="28"/>
          <w:szCs w:val="28"/>
        </w:rPr>
      </w:pPr>
      <w:r>
        <w:rPr>
          <w:rFonts w:hint="eastAsia"/>
          <w:b/>
          <w:bCs/>
          <w:sz w:val="28"/>
          <w:szCs w:val="28"/>
        </w:rPr>
        <w:t>第二部分 投标人须知</w:t>
      </w:r>
    </w:p>
    <w:p w14:paraId="71EF9904">
      <w:pPr>
        <w:spacing w:line="360" w:lineRule="auto"/>
        <w:outlineLvl w:val="1"/>
        <w:rPr>
          <w:b/>
          <w:bCs/>
          <w:sz w:val="24"/>
        </w:rPr>
      </w:pPr>
      <w:r>
        <w:rPr>
          <w:rFonts w:hint="eastAsia"/>
          <w:b/>
          <w:bCs/>
          <w:sz w:val="24"/>
        </w:rPr>
        <w:t>一、总则</w:t>
      </w:r>
    </w:p>
    <w:p w14:paraId="44B83329">
      <w:pPr>
        <w:spacing w:line="360" w:lineRule="auto"/>
        <w:outlineLvl w:val="2"/>
        <w:rPr>
          <w:b/>
          <w:bCs/>
          <w:sz w:val="24"/>
        </w:rPr>
      </w:pPr>
      <w:r>
        <w:rPr>
          <w:rFonts w:hint="eastAsia"/>
          <w:b/>
          <w:bCs/>
          <w:sz w:val="24"/>
        </w:rPr>
        <w:t>1．投标人资格</w:t>
      </w:r>
    </w:p>
    <w:p w14:paraId="425C2B90">
      <w:pPr>
        <w:spacing w:line="360" w:lineRule="auto"/>
        <w:rPr>
          <w:sz w:val="24"/>
        </w:rPr>
      </w:pPr>
      <w:r>
        <w:rPr>
          <w:rFonts w:hint="eastAsia"/>
          <w:sz w:val="24"/>
        </w:rPr>
        <w:t>1.</w:t>
      </w:r>
      <w:r>
        <w:rPr>
          <w:rFonts w:hint="eastAsia"/>
          <w:sz w:val="24"/>
          <w:lang w:val="en-US" w:eastAsia="zh-CN"/>
        </w:rPr>
        <w:t>1</w:t>
      </w:r>
      <w:r>
        <w:rPr>
          <w:rFonts w:hint="eastAsia"/>
          <w:sz w:val="24"/>
        </w:rPr>
        <w:t xml:space="preserve"> 不得被市场监督管理机关在国家企业信用信息公示系统中列入严重违法失信企业名单或列入经营异常名录信息；</w:t>
      </w:r>
    </w:p>
    <w:p w14:paraId="63AE85BE">
      <w:pPr>
        <w:spacing w:line="360" w:lineRule="auto"/>
        <w:rPr>
          <w:sz w:val="24"/>
        </w:rPr>
      </w:pPr>
      <w:r>
        <w:rPr>
          <w:rFonts w:hint="eastAsia"/>
          <w:sz w:val="24"/>
        </w:rPr>
        <w:t>1.</w:t>
      </w:r>
      <w:r>
        <w:rPr>
          <w:rFonts w:hint="eastAsia"/>
          <w:sz w:val="24"/>
          <w:lang w:val="en-US" w:eastAsia="zh-CN"/>
        </w:rPr>
        <w:t>2</w:t>
      </w:r>
      <w:r>
        <w:rPr>
          <w:rFonts w:hint="eastAsia"/>
          <w:sz w:val="24"/>
        </w:rPr>
        <w:t>不得被“信用中国”列入失信惩戒（黑名单）。</w:t>
      </w:r>
    </w:p>
    <w:p w14:paraId="27706C06">
      <w:pPr>
        <w:spacing w:line="360" w:lineRule="auto"/>
        <w:outlineLvl w:val="2"/>
        <w:rPr>
          <w:b/>
          <w:bCs/>
          <w:sz w:val="24"/>
        </w:rPr>
      </w:pPr>
      <w:r>
        <w:rPr>
          <w:rFonts w:hint="eastAsia"/>
          <w:b/>
          <w:bCs/>
          <w:sz w:val="24"/>
        </w:rPr>
        <w:t>2.投标保证金及其他费用</w:t>
      </w:r>
    </w:p>
    <w:p w14:paraId="71DC68DC">
      <w:pPr>
        <w:spacing w:line="360" w:lineRule="auto"/>
        <w:rPr>
          <w:rFonts w:hint="default"/>
          <w:sz w:val="24"/>
          <w:lang w:val="en-US" w:eastAsia="zh-CN"/>
        </w:rPr>
      </w:pPr>
      <w:r>
        <w:rPr>
          <w:rFonts w:hint="eastAsia"/>
          <w:sz w:val="24"/>
        </w:rPr>
        <w:t>2.1投标保证金金额：</w:t>
      </w:r>
      <w:r>
        <w:rPr>
          <w:rFonts w:hint="eastAsia"/>
          <w:sz w:val="24"/>
          <w:lang w:val="en-US" w:eastAsia="zh-CN"/>
        </w:rPr>
        <w:t>0元。</w:t>
      </w:r>
    </w:p>
    <w:p w14:paraId="1A38D82A">
      <w:pPr>
        <w:spacing w:line="360" w:lineRule="auto"/>
        <w:rPr>
          <w:rFonts w:hint="default" w:eastAsiaTheme="minorEastAsia"/>
          <w:sz w:val="24"/>
          <w:lang w:val="en-US" w:eastAsia="zh-CN"/>
        </w:rPr>
      </w:pPr>
      <w:r>
        <w:rPr>
          <w:rFonts w:hint="eastAsia"/>
          <w:sz w:val="24"/>
        </w:rPr>
        <w:t>2.</w:t>
      </w:r>
      <w:r>
        <w:rPr>
          <w:rFonts w:hint="eastAsia"/>
          <w:sz w:val="24"/>
          <w:lang w:val="en-US" w:eastAsia="zh-CN"/>
        </w:rPr>
        <w:t>2履约保证金：10000.00元，签订合同前缴纳。</w:t>
      </w:r>
    </w:p>
    <w:p w14:paraId="2723392C">
      <w:pPr>
        <w:spacing w:line="360" w:lineRule="auto"/>
        <w:rPr>
          <w:sz w:val="24"/>
        </w:rPr>
      </w:pPr>
      <w:r>
        <w:rPr>
          <w:rFonts w:hint="eastAsia"/>
          <w:sz w:val="24"/>
        </w:rPr>
        <w:t>2.</w:t>
      </w:r>
      <w:r>
        <w:rPr>
          <w:rFonts w:hint="eastAsia"/>
          <w:sz w:val="24"/>
          <w:lang w:val="en-US" w:eastAsia="zh-CN"/>
        </w:rPr>
        <w:t>3履约</w:t>
      </w:r>
      <w:r>
        <w:rPr>
          <w:rFonts w:hint="eastAsia"/>
          <w:sz w:val="24"/>
        </w:rPr>
        <w:t>保证金的形式：银行转账，</w:t>
      </w:r>
      <w:r>
        <w:rPr>
          <w:rFonts w:hint="eastAsia"/>
          <w:sz w:val="24"/>
          <w:lang w:val="en-US" w:eastAsia="zh-CN"/>
        </w:rPr>
        <w:t>履约</w:t>
      </w:r>
      <w:r>
        <w:rPr>
          <w:rFonts w:hint="eastAsia"/>
          <w:sz w:val="24"/>
        </w:rPr>
        <w:t>保证金必须通过投标人的基本帐户以银行转帐的方式缴纳</w:t>
      </w:r>
      <w:r>
        <w:rPr>
          <w:rFonts w:hint="eastAsia"/>
          <w:sz w:val="24"/>
          <w:lang w:eastAsia="zh-CN"/>
        </w:rPr>
        <w:t>，</w:t>
      </w:r>
      <w:r>
        <w:rPr>
          <w:rFonts w:hint="eastAsia"/>
          <w:sz w:val="24"/>
          <w:lang w:val="en-US" w:eastAsia="zh-CN"/>
        </w:rPr>
        <w:t>在本次物资处理活动结束后7个工作日内无息返还</w:t>
      </w:r>
      <w:r>
        <w:rPr>
          <w:rFonts w:hint="eastAsia"/>
          <w:sz w:val="24"/>
        </w:rPr>
        <w:t>。</w:t>
      </w:r>
    </w:p>
    <w:p w14:paraId="21AF1721">
      <w:pPr>
        <w:spacing w:line="360" w:lineRule="auto"/>
        <w:rPr>
          <w:sz w:val="24"/>
        </w:rPr>
      </w:pPr>
      <w:r>
        <w:rPr>
          <w:rFonts w:hint="eastAsia"/>
          <w:sz w:val="24"/>
        </w:rPr>
        <w:t>2.</w:t>
      </w:r>
      <w:r>
        <w:rPr>
          <w:rFonts w:hint="eastAsia"/>
          <w:sz w:val="24"/>
          <w:lang w:val="en-US" w:eastAsia="zh-CN"/>
        </w:rPr>
        <w:t>4</w:t>
      </w:r>
      <w:r>
        <w:rPr>
          <w:rFonts w:hint="eastAsia"/>
          <w:sz w:val="24"/>
        </w:rPr>
        <w:t>保证金账户信息：</w:t>
      </w:r>
    </w:p>
    <w:p w14:paraId="73CC3FFD">
      <w:pPr>
        <w:spacing w:line="360" w:lineRule="auto"/>
        <w:rPr>
          <w:rFonts w:hint="eastAsia" w:eastAsiaTheme="minorEastAsia"/>
          <w:sz w:val="24"/>
          <w:lang w:eastAsia="zh-CN"/>
        </w:rPr>
      </w:pPr>
      <w:r>
        <w:rPr>
          <w:rFonts w:hint="eastAsia"/>
          <w:sz w:val="24"/>
        </w:rPr>
        <w:t>户    名：</w:t>
      </w:r>
      <w:r>
        <w:rPr>
          <w:rFonts w:hint="eastAsia"/>
          <w:sz w:val="24"/>
          <w:lang w:eastAsia="zh-CN"/>
        </w:rPr>
        <w:t>四川安立通索桥工程有限公司</w:t>
      </w:r>
    </w:p>
    <w:p w14:paraId="55975087">
      <w:pPr>
        <w:spacing w:line="360" w:lineRule="auto"/>
        <w:rPr>
          <w:sz w:val="24"/>
        </w:rPr>
      </w:pPr>
      <w:r>
        <w:rPr>
          <w:rFonts w:hint="eastAsia"/>
          <w:sz w:val="24"/>
        </w:rPr>
        <w:t>开 户 行：长城华西银行股份有限公司德阳高新科技支行</w:t>
      </w:r>
    </w:p>
    <w:p w14:paraId="48EF4311">
      <w:pPr>
        <w:spacing w:line="360" w:lineRule="auto"/>
        <w:rPr>
          <w:rFonts w:hint="default" w:eastAsiaTheme="minorEastAsia"/>
          <w:sz w:val="24"/>
          <w:lang w:val="en-US" w:eastAsia="zh-CN"/>
        </w:rPr>
      </w:pPr>
      <w:r>
        <w:rPr>
          <w:rFonts w:hint="eastAsia"/>
          <w:sz w:val="24"/>
        </w:rPr>
        <w:t>账    号：</w:t>
      </w:r>
      <w:r>
        <w:rPr>
          <w:rFonts w:hint="eastAsia"/>
          <w:sz w:val="24"/>
          <w:lang w:val="en-US" w:eastAsia="zh-CN"/>
        </w:rPr>
        <w:t>1013 1700 0000 0342</w:t>
      </w:r>
    </w:p>
    <w:p w14:paraId="0D23798A">
      <w:pPr>
        <w:spacing w:line="360" w:lineRule="auto"/>
        <w:rPr>
          <w:sz w:val="24"/>
        </w:rPr>
      </w:pPr>
      <w:r>
        <w:rPr>
          <w:rFonts w:hint="eastAsia"/>
          <w:sz w:val="24"/>
        </w:rPr>
        <w:t>行    号：313658010132</w:t>
      </w:r>
    </w:p>
    <w:p w14:paraId="5D2310D6">
      <w:pPr>
        <w:spacing w:line="360" w:lineRule="auto"/>
        <w:rPr>
          <w:sz w:val="24"/>
        </w:rPr>
      </w:pPr>
      <w:r>
        <w:rPr>
          <w:rFonts w:hint="eastAsia"/>
          <w:sz w:val="24"/>
        </w:rPr>
        <w:t>2.</w:t>
      </w:r>
      <w:r>
        <w:rPr>
          <w:rFonts w:hint="eastAsia"/>
          <w:sz w:val="24"/>
          <w:lang w:val="en-US" w:eastAsia="zh-CN"/>
        </w:rPr>
        <w:t>5</w:t>
      </w:r>
      <w:r>
        <w:rPr>
          <w:rFonts w:hint="eastAsia"/>
          <w:sz w:val="24"/>
        </w:rPr>
        <w:t xml:space="preserve"> 在开标时，未按规定提交投标保证金的投标，将被视为非响应性投标予以拒绝</w:t>
      </w:r>
      <w:r>
        <w:rPr>
          <w:rFonts w:hint="eastAsia"/>
          <w:sz w:val="24"/>
          <w:lang w:eastAsia="zh-CN"/>
        </w:rPr>
        <w:t>（</w:t>
      </w:r>
      <w:r>
        <w:rPr>
          <w:rFonts w:hint="eastAsia"/>
          <w:sz w:val="24"/>
          <w:lang w:val="en-US" w:eastAsia="zh-CN"/>
        </w:rPr>
        <w:t>招标文件不要求缴纳除外</w:t>
      </w:r>
      <w:r>
        <w:rPr>
          <w:rFonts w:hint="eastAsia"/>
          <w:sz w:val="24"/>
          <w:lang w:eastAsia="zh-CN"/>
        </w:rPr>
        <w:t>）</w:t>
      </w:r>
      <w:r>
        <w:rPr>
          <w:rFonts w:hint="eastAsia"/>
          <w:sz w:val="24"/>
        </w:rPr>
        <w:t>。</w:t>
      </w:r>
    </w:p>
    <w:p w14:paraId="02D03A2A">
      <w:pPr>
        <w:spacing w:line="360" w:lineRule="auto"/>
        <w:rPr>
          <w:rFonts w:hint="eastAsia"/>
          <w:sz w:val="24"/>
        </w:rPr>
      </w:pPr>
      <w:r>
        <w:rPr>
          <w:rFonts w:hint="eastAsia"/>
          <w:sz w:val="24"/>
        </w:rPr>
        <w:t>2.</w:t>
      </w:r>
      <w:r>
        <w:rPr>
          <w:rFonts w:hint="eastAsia"/>
          <w:sz w:val="24"/>
          <w:lang w:val="en-US" w:eastAsia="zh-CN"/>
        </w:rPr>
        <w:t>6</w:t>
      </w:r>
      <w:r>
        <w:rPr>
          <w:rFonts w:hint="eastAsia"/>
          <w:sz w:val="24"/>
        </w:rPr>
        <w:t>投标人应承担所有与编写和提交投标文件有关的费用，无论投标过程的做法和结果如何，投标人自行承担所有与参加投标有关的全部费用。</w:t>
      </w:r>
    </w:p>
    <w:p w14:paraId="1B5C53CC">
      <w:pPr>
        <w:numPr>
          <w:ilvl w:val="0"/>
          <w:numId w:val="2"/>
        </w:numPr>
        <w:spacing w:line="360" w:lineRule="auto"/>
        <w:outlineLvl w:val="2"/>
        <w:rPr>
          <w:rFonts w:hint="eastAsia"/>
          <w:b/>
          <w:bCs/>
          <w:sz w:val="24"/>
          <w:lang w:val="en-US" w:eastAsia="zh-CN"/>
        </w:rPr>
      </w:pPr>
      <w:r>
        <w:rPr>
          <w:rFonts w:hint="eastAsia"/>
          <w:b/>
          <w:bCs/>
          <w:sz w:val="24"/>
          <w:lang w:val="en-US" w:eastAsia="zh-CN"/>
        </w:rPr>
        <w:t>报价须知</w:t>
      </w:r>
    </w:p>
    <w:p w14:paraId="2EFC54D8">
      <w:pPr>
        <w:spacing w:line="360" w:lineRule="auto"/>
        <w:outlineLvl w:val="2"/>
        <w:rPr>
          <w:rFonts w:hint="eastAsia"/>
          <w:color w:val="auto"/>
          <w:sz w:val="24"/>
          <w:lang w:val="en-US" w:eastAsia="zh-CN"/>
        </w:rPr>
      </w:pPr>
      <w:r>
        <w:rPr>
          <w:rFonts w:hint="eastAsia"/>
          <w:color w:val="auto"/>
          <w:sz w:val="24"/>
          <w:lang w:val="en-US" w:eastAsia="zh-CN"/>
        </w:rPr>
        <w:t>3.1、买方自行负责装车、运输（国五及以上车辆）。</w:t>
      </w:r>
    </w:p>
    <w:p w14:paraId="4B64C338">
      <w:pPr>
        <w:spacing w:line="360" w:lineRule="auto"/>
        <w:outlineLvl w:val="2"/>
        <w:rPr>
          <w:rFonts w:hint="eastAsia"/>
          <w:sz w:val="24"/>
          <w:lang w:val="en-US" w:eastAsia="zh-CN"/>
        </w:rPr>
      </w:pPr>
      <w:r>
        <w:rPr>
          <w:rFonts w:hint="eastAsia"/>
          <w:sz w:val="24"/>
          <w:lang w:val="en-US" w:eastAsia="zh-CN"/>
        </w:rPr>
        <w:t>3.2、过磅地点：四川兴天元钢桥有限公司厂内地磅。</w:t>
      </w:r>
    </w:p>
    <w:p w14:paraId="3DDBCA54">
      <w:pPr>
        <w:spacing w:line="360" w:lineRule="auto"/>
        <w:outlineLvl w:val="2"/>
        <w:rPr>
          <w:rFonts w:hint="eastAsia"/>
          <w:sz w:val="24"/>
          <w:lang w:val="en-US" w:eastAsia="zh-CN"/>
        </w:rPr>
      </w:pPr>
      <w:r>
        <w:rPr>
          <w:rFonts w:hint="eastAsia"/>
          <w:sz w:val="24"/>
          <w:lang w:val="en-US" w:eastAsia="zh-CN"/>
        </w:rPr>
        <w:t>3.3、现场装卸废钢人员安全责任由买方负责。</w:t>
      </w:r>
    </w:p>
    <w:p w14:paraId="5B874480">
      <w:pPr>
        <w:spacing w:line="360" w:lineRule="auto"/>
        <w:outlineLvl w:val="2"/>
        <w:rPr>
          <w:rFonts w:hint="eastAsia"/>
          <w:sz w:val="24"/>
          <w:lang w:val="en-US" w:eastAsia="zh-CN"/>
        </w:rPr>
      </w:pPr>
      <w:r>
        <w:rPr>
          <w:rFonts w:hint="eastAsia"/>
          <w:sz w:val="24"/>
          <w:lang w:val="en-US" w:eastAsia="zh-CN"/>
        </w:rPr>
        <w:t>3.4、当次装车，当次结算，当次付款（需付款后方能出将货物运出厂区）</w:t>
      </w:r>
    </w:p>
    <w:p w14:paraId="4931C1AB">
      <w:pPr>
        <w:spacing w:line="360" w:lineRule="auto"/>
        <w:outlineLvl w:val="2"/>
        <w:rPr>
          <w:b/>
          <w:bCs/>
          <w:sz w:val="24"/>
        </w:rPr>
      </w:pPr>
      <w:r>
        <w:rPr>
          <w:rFonts w:hint="eastAsia"/>
          <w:b/>
          <w:bCs/>
          <w:sz w:val="24"/>
          <w:lang w:val="en-US" w:eastAsia="zh-CN"/>
        </w:rPr>
        <w:t>4</w:t>
      </w:r>
      <w:r>
        <w:rPr>
          <w:rFonts w:hint="eastAsia"/>
          <w:b/>
          <w:bCs/>
          <w:sz w:val="24"/>
        </w:rPr>
        <w:t>．其它</w:t>
      </w:r>
    </w:p>
    <w:p w14:paraId="590F65AC">
      <w:pPr>
        <w:spacing w:line="360" w:lineRule="auto"/>
        <w:rPr>
          <w:sz w:val="24"/>
        </w:rPr>
      </w:pPr>
      <w:r>
        <w:rPr>
          <w:rFonts w:hint="eastAsia"/>
          <w:sz w:val="24"/>
          <w:lang w:val="en-US" w:eastAsia="zh-CN"/>
        </w:rPr>
        <w:t>4</w:t>
      </w:r>
      <w:r>
        <w:rPr>
          <w:rFonts w:hint="eastAsia"/>
          <w:sz w:val="24"/>
        </w:rPr>
        <w:t>.1 投标文件逾期送达的，招标人不予受理：</w:t>
      </w:r>
    </w:p>
    <w:p w14:paraId="49560F02">
      <w:pPr>
        <w:spacing w:line="360" w:lineRule="auto"/>
        <w:rPr>
          <w:sz w:val="24"/>
        </w:rPr>
      </w:pPr>
      <w:r>
        <w:rPr>
          <w:rFonts w:hint="eastAsia"/>
          <w:sz w:val="24"/>
          <w:lang w:val="en-US" w:eastAsia="zh-CN"/>
        </w:rPr>
        <w:t>4</w:t>
      </w:r>
      <w:r>
        <w:rPr>
          <w:rFonts w:hint="eastAsia"/>
          <w:sz w:val="24"/>
        </w:rPr>
        <w:t>.2 投标文件有下列情形之一的，由评标委员会初审后按废标处理：</w:t>
      </w:r>
    </w:p>
    <w:p w14:paraId="1F936064">
      <w:pPr>
        <w:spacing w:line="360" w:lineRule="auto"/>
        <w:rPr>
          <w:sz w:val="24"/>
        </w:rPr>
      </w:pPr>
      <w:r>
        <w:rPr>
          <w:rFonts w:hint="eastAsia"/>
          <w:sz w:val="24"/>
        </w:rPr>
        <w:t>（1）未响应招标文件的；</w:t>
      </w:r>
    </w:p>
    <w:p w14:paraId="3643826A">
      <w:pPr>
        <w:spacing w:line="360" w:lineRule="auto"/>
        <w:rPr>
          <w:sz w:val="24"/>
        </w:rPr>
      </w:pPr>
      <w:r>
        <w:rPr>
          <w:rFonts w:hint="eastAsia"/>
          <w:sz w:val="24"/>
        </w:rPr>
        <w:t>（</w:t>
      </w:r>
      <w:r>
        <w:rPr>
          <w:rFonts w:hint="eastAsia"/>
          <w:sz w:val="24"/>
          <w:lang w:val="en-US" w:eastAsia="zh-CN"/>
        </w:rPr>
        <w:t>2</w:t>
      </w:r>
      <w:r>
        <w:rPr>
          <w:rFonts w:hint="eastAsia"/>
          <w:sz w:val="24"/>
        </w:rPr>
        <w:t>）投标附有招标方不能接受的条件；</w:t>
      </w:r>
    </w:p>
    <w:p w14:paraId="0D42E36E">
      <w:pPr>
        <w:spacing w:line="360" w:lineRule="auto"/>
        <w:rPr>
          <w:sz w:val="24"/>
        </w:rPr>
      </w:pPr>
      <w:r>
        <w:rPr>
          <w:rFonts w:hint="eastAsia"/>
          <w:sz w:val="24"/>
        </w:rPr>
        <w:t>（</w:t>
      </w:r>
      <w:r>
        <w:rPr>
          <w:rFonts w:hint="eastAsia"/>
          <w:sz w:val="24"/>
          <w:lang w:val="en-US" w:eastAsia="zh-CN"/>
        </w:rPr>
        <w:t>3</w:t>
      </w:r>
      <w:r>
        <w:rPr>
          <w:rFonts w:hint="eastAsia"/>
          <w:sz w:val="24"/>
        </w:rPr>
        <w:t>）投标文件未盖公章的。</w:t>
      </w:r>
    </w:p>
    <w:p w14:paraId="0B593EA8">
      <w:pPr>
        <w:spacing w:line="360" w:lineRule="auto"/>
        <w:outlineLvl w:val="1"/>
        <w:rPr>
          <w:b/>
          <w:bCs/>
          <w:sz w:val="24"/>
        </w:rPr>
      </w:pPr>
      <w:r>
        <w:rPr>
          <w:rFonts w:hint="eastAsia"/>
          <w:b/>
          <w:bCs/>
          <w:sz w:val="24"/>
        </w:rPr>
        <w:t>二、投标书的编制</w:t>
      </w:r>
    </w:p>
    <w:p w14:paraId="4320426D">
      <w:pPr>
        <w:spacing w:line="360" w:lineRule="auto"/>
        <w:ind w:firstLine="241" w:firstLineChars="100"/>
        <w:outlineLvl w:val="2"/>
        <w:rPr>
          <w:b/>
          <w:bCs/>
          <w:sz w:val="24"/>
        </w:rPr>
      </w:pPr>
      <w:r>
        <w:rPr>
          <w:rFonts w:hint="eastAsia"/>
          <w:b/>
          <w:bCs/>
          <w:sz w:val="24"/>
        </w:rPr>
        <w:t>1、投标书构成</w:t>
      </w:r>
    </w:p>
    <w:p w14:paraId="11CB996E">
      <w:pPr>
        <w:spacing w:line="360" w:lineRule="auto"/>
        <w:ind w:firstLine="240" w:firstLineChars="100"/>
        <w:rPr>
          <w:sz w:val="24"/>
        </w:rPr>
      </w:pPr>
      <w:r>
        <w:rPr>
          <w:rFonts w:hint="eastAsia"/>
          <w:sz w:val="24"/>
        </w:rPr>
        <w:t>1.1 投标人编写的投标书应包括下列部分：</w:t>
      </w:r>
    </w:p>
    <w:p w14:paraId="761C4D75">
      <w:pPr>
        <w:spacing w:line="360" w:lineRule="auto"/>
        <w:ind w:firstLine="240" w:firstLineChars="100"/>
        <w:rPr>
          <w:sz w:val="24"/>
        </w:rPr>
      </w:pPr>
      <w:r>
        <w:rPr>
          <w:rFonts w:hint="eastAsia"/>
          <w:sz w:val="24"/>
        </w:rPr>
        <w:t>（1）投标报价单</w:t>
      </w:r>
    </w:p>
    <w:p w14:paraId="21B2AEBA">
      <w:pPr>
        <w:spacing w:line="360" w:lineRule="auto"/>
        <w:ind w:firstLine="240" w:firstLineChars="100"/>
        <w:rPr>
          <w:sz w:val="24"/>
        </w:rPr>
      </w:pPr>
      <w:r>
        <w:rPr>
          <w:rFonts w:hint="eastAsia"/>
          <w:sz w:val="24"/>
        </w:rPr>
        <w:t>（2）资格证明文件（已</w:t>
      </w:r>
      <w:r>
        <w:rPr>
          <w:rFonts w:hint="eastAsia"/>
          <w:sz w:val="24"/>
          <w:lang w:val="en-US" w:eastAsia="zh-CN"/>
        </w:rPr>
        <w:t>在集团公司</w:t>
      </w:r>
      <w:r>
        <w:rPr>
          <w:rFonts w:hint="eastAsia"/>
          <w:sz w:val="24"/>
        </w:rPr>
        <w:t>有档案备案的可不提供）</w:t>
      </w:r>
    </w:p>
    <w:p w14:paraId="53F92EFD">
      <w:pPr>
        <w:spacing w:line="360" w:lineRule="auto"/>
        <w:ind w:firstLine="241" w:firstLineChars="100"/>
        <w:outlineLvl w:val="2"/>
        <w:rPr>
          <w:b/>
          <w:bCs/>
          <w:sz w:val="24"/>
        </w:rPr>
      </w:pPr>
      <w:r>
        <w:rPr>
          <w:rFonts w:hint="eastAsia"/>
          <w:b/>
          <w:bCs/>
          <w:sz w:val="24"/>
        </w:rPr>
        <w:t>2. 资格证明文件</w:t>
      </w:r>
    </w:p>
    <w:p w14:paraId="48DCACA3">
      <w:pPr>
        <w:spacing w:line="360" w:lineRule="auto"/>
        <w:ind w:firstLine="240" w:firstLineChars="100"/>
        <w:rPr>
          <w:sz w:val="24"/>
        </w:rPr>
      </w:pPr>
      <w:r>
        <w:rPr>
          <w:rFonts w:hint="eastAsia"/>
          <w:sz w:val="24"/>
        </w:rPr>
        <w:t>投标人应提供证明其有资格参加投标和中标后有能力履行合同的文件，至少应包含：法人代表授权书、营业执照（复印件）。</w:t>
      </w:r>
    </w:p>
    <w:p w14:paraId="66EE144B">
      <w:pPr>
        <w:spacing w:line="360" w:lineRule="auto"/>
        <w:ind w:firstLine="240" w:firstLineChars="100"/>
        <w:rPr>
          <w:sz w:val="24"/>
        </w:rPr>
      </w:pPr>
    </w:p>
    <w:p w14:paraId="1F8F7BC2">
      <w:pPr>
        <w:pStyle w:val="13"/>
        <w:rPr>
          <w:sz w:val="24"/>
        </w:rPr>
      </w:pPr>
    </w:p>
    <w:p w14:paraId="05B5C5F1">
      <w:pPr>
        <w:pStyle w:val="13"/>
        <w:rPr>
          <w:sz w:val="24"/>
        </w:rPr>
      </w:pPr>
    </w:p>
    <w:p w14:paraId="018625D6">
      <w:pPr>
        <w:pStyle w:val="13"/>
        <w:rPr>
          <w:sz w:val="24"/>
        </w:rPr>
      </w:pPr>
    </w:p>
    <w:p w14:paraId="762D0F9E">
      <w:pPr>
        <w:pStyle w:val="13"/>
        <w:rPr>
          <w:sz w:val="24"/>
        </w:rPr>
      </w:pPr>
    </w:p>
    <w:p w14:paraId="06AA9E41">
      <w:pPr>
        <w:pStyle w:val="13"/>
        <w:rPr>
          <w:sz w:val="24"/>
        </w:rPr>
      </w:pPr>
    </w:p>
    <w:p w14:paraId="12A138F2">
      <w:pPr>
        <w:pStyle w:val="13"/>
        <w:rPr>
          <w:sz w:val="24"/>
        </w:rPr>
      </w:pPr>
    </w:p>
    <w:p w14:paraId="4CE4037C">
      <w:pPr>
        <w:pStyle w:val="13"/>
        <w:rPr>
          <w:sz w:val="24"/>
        </w:rPr>
      </w:pPr>
    </w:p>
    <w:p w14:paraId="55A101E9">
      <w:pPr>
        <w:spacing w:line="460" w:lineRule="exact"/>
        <w:ind w:firstLine="460" w:firstLineChars="200"/>
        <w:rPr>
          <w:b/>
          <w:bCs/>
          <w:w w:val="82"/>
          <w:kern w:val="0"/>
          <w:sz w:val="28"/>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34EE6A49">
      <w:pPr>
        <w:spacing w:before="120" w:beforeLines="50" w:line="200" w:lineRule="atLeast"/>
        <w:jc w:val="left"/>
        <w:outlineLvl w:val="0"/>
        <w:rPr>
          <w:b/>
          <w:bCs/>
          <w:sz w:val="28"/>
          <w:szCs w:val="28"/>
        </w:rPr>
      </w:pPr>
      <w:r>
        <w:rPr>
          <w:rFonts w:hint="eastAsia"/>
          <w:b/>
          <w:bCs/>
          <w:sz w:val="28"/>
          <w:szCs w:val="28"/>
        </w:rPr>
        <w:t xml:space="preserve">第三部分 </w:t>
      </w:r>
      <w:r>
        <w:rPr>
          <w:rFonts w:hint="eastAsia"/>
          <w:b/>
          <w:bCs/>
          <w:sz w:val="28"/>
          <w:szCs w:val="28"/>
          <w:lang w:val="en-US" w:eastAsia="zh-CN"/>
        </w:rPr>
        <w:t>报价</w:t>
      </w:r>
      <w:r>
        <w:rPr>
          <w:rFonts w:hint="eastAsia"/>
          <w:b/>
          <w:bCs/>
          <w:sz w:val="28"/>
          <w:szCs w:val="28"/>
        </w:rPr>
        <w:t>单</w:t>
      </w:r>
    </w:p>
    <w:tbl>
      <w:tblPr>
        <w:tblStyle w:val="14"/>
        <w:tblpPr w:leftFromText="180" w:rightFromText="180" w:vertAnchor="text" w:horzAnchor="page" w:tblpX="1196" w:tblpY="223"/>
        <w:tblOverlap w:val="never"/>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8"/>
        <w:gridCol w:w="1809"/>
        <w:gridCol w:w="2414"/>
        <w:gridCol w:w="2253"/>
        <w:gridCol w:w="2196"/>
        <w:gridCol w:w="2870"/>
      </w:tblGrid>
      <w:tr w14:paraId="3D43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13520" w:type="dxa"/>
            <w:gridSpan w:val="6"/>
            <w:tcBorders>
              <w:top w:val="nil"/>
              <w:left w:val="nil"/>
              <w:bottom w:val="nil"/>
              <w:right w:val="nil"/>
            </w:tcBorders>
            <w:shd w:val="clear" w:color="auto" w:fill="auto"/>
            <w:noWrap/>
            <w:vAlign w:val="center"/>
          </w:tcPr>
          <w:p w14:paraId="12E6DB3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报    价   单</w:t>
            </w:r>
          </w:p>
        </w:tc>
      </w:tr>
      <w:tr w14:paraId="69BC9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B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115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776B">
            <w:pPr>
              <w:jc w:val="center"/>
              <w:rPr>
                <w:rFonts w:hint="eastAsia" w:ascii="宋体" w:hAnsi="宋体" w:eastAsia="宋体" w:cs="宋体"/>
                <w:i w:val="0"/>
                <w:iCs w:val="0"/>
                <w:color w:val="000000"/>
                <w:sz w:val="22"/>
                <w:szCs w:val="22"/>
                <w:u w:val="none"/>
              </w:rPr>
            </w:pPr>
          </w:p>
        </w:tc>
      </w:tr>
      <w:tr w14:paraId="1DDB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9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公司地址：</w:t>
            </w:r>
          </w:p>
        </w:tc>
        <w:tc>
          <w:tcPr>
            <w:tcW w:w="115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A511">
            <w:pPr>
              <w:jc w:val="center"/>
              <w:rPr>
                <w:rFonts w:hint="eastAsia" w:ascii="宋体" w:hAnsi="宋体" w:eastAsia="宋体" w:cs="宋体"/>
                <w:i w:val="0"/>
                <w:iCs w:val="0"/>
                <w:color w:val="000000"/>
                <w:sz w:val="22"/>
                <w:szCs w:val="22"/>
                <w:u w:val="none"/>
              </w:rPr>
            </w:pPr>
          </w:p>
        </w:tc>
      </w:tr>
      <w:tr w14:paraId="51E0A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F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7E53">
            <w:pPr>
              <w:rPr>
                <w:rFonts w:hint="eastAsia" w:ascii="宋体" w:hAnsi="宋体" w:eastAsia="宋体" w:cs="宋体"/>
                <w:i w:val="0"/>
                <w:iCs w:val="0"/>
                <w:color w:val="000000"/>
                <w:sz w:val="22"/>
                <w:szCs w:val="22"/>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E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7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C9E2">
            <w:pPr>
              <w:rPr>
                <w:rFonts w:hint="eastAsia" w:ascii="宋体" w:hAnsi="宋体" w:eastAsia="宋体" w:cs="宋体"/>
                <w:i w:val="0"/>
                <w:iCs w:val="0"/>
                <w:color w:val="000000"/>
                <w:sz w:val="22"/>
                <w:szCs w:val="22"/>
                <w:u w:val="none"/>
              </w:rPr>
            </w:pPr>
          </w:p>
        </w:tc>
      </w:tr>
      <w:tr w14:paraId="3D2F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978" w:type="dxa"/>
            <w:tcBorders>
              <w:top w:val="nil"/>
              <w:left w:val="nil"/>
              <w:bottom w:val="nil"/>
              <w:right w:val="nil"/>
            </w:tcBorders>
            <w:shd w:val="clear" w:color="auto" w:fill="auto"/>
            <w:noWrap/>
            <w:vAlign w:val="center"/>
          </w:tcPr>
          <w:p w14:paraId="1F20946B">
            <w:pPr>
              <w:jc w:val="center"/>
              <w:rPr>
                <w:rFonts w:hint="eastAsia" w:ascii="宋体" w:hAnsi="宋体" w:eastAsia="宋体" w:cs="宋体"/>
                <w:i w:val="0"/>
                <w:iCs w:val="0"/>
                <w:color w:val="000000"/>
                <w:sz w:val="22"/>
                <w:szCs w:val="22"/>
                <w:u w:val="none"/>
              </w:rPr>
            </w:pPr>
          </w:p>
        </w:tc>
        <w:tc>
          <w:tcPr>
            <w:tcW w:w="1809" w:type="dxa"/>
            <w:tcBorders>
              <w:top w:val="nil"/>
              <w:left w:val="nil"/>
              <w:bottom w:val="nil"/>
              <w:right w:val="nil"/>
            </w:tcBorders>
            <w:shd w:val="clear" w:color="auto" w:fill="auto"/>
            <w:noWrap/>
            <w:vAlign w:val="center"/>
          </w:tcPr>
          <w:p w14:paraId="089678F8">
            <w:pPr>
              <w:jc w:val="center"/>
              <w:rPr>
                <w:rFonts w:hint="eastAsia" w:ascii="宋体" w:hAnsi="宋体" w:eastAsia="宋体" w:cs="宋体"/>
                <w:i w:val="0"/>
                <w:iCs w:val="0"/>
                <w:color w:val="000000"/>
                <w:sz w:val="22"/>
                <w:szCs w:val="22"/>
                <w:u w:val="none"/>
              </w:rPr>
            </w:pPr>
          </w:p>
        </w:tc>
        <w:tc>
          <w:tcPr>
            <w:tcW w:w="2414" w:type="dxa"/>
            <w:tcBorders>
              <w:top w:val="nil"/>
              <w:left w:val="nil"/>
              <w:bottom w:val="nil"/>
              <w:right w:val="nil"/>
            </w:tcBorders>
            <w:shd w:val="clear" w:color="auto" w:fill="auto"/>
            <w:noWrap/>
            <w:vAlign w:val="center"/>
          </w:tcPr>
          <w:p w14:paraId="31A9FA18">
            <w:pPr>
              <w:jc w:val="center"/>
              <w:rPr>
                <w:rFonts w:hint="eastAsia" w:ascii="宋体" w:hAnsi="宋体" w:eastAsia="宋体" w:cs="宋体"/>
                <w:i w:val="0"/>
                <w:iCs w:val="0"/>
                <w:color w:val="000000"/>
                <w:sz w:val="22"/>
                <w:szCs w:val="22"/>
                <w:u w:val="none"/>
              </w:rPr>
            </w:pPr>
          </w:p>
        </w:tc>
        <w:tc>
          <w:tcPr>
            <w:tcW w:w="2253" w:type="dxa"/>
            <w:tcBorders>
              <w:top w:val="nil"/>
              <w:left w:val="nil"/>
              <w:bottom w:val="nil"/>
              <w:right w:val="nil"/>
            </w:tcBorders>
            <w:shd w:val="clear" w:color="auto" w:fill="auto"/>
            <w:noWrap/>
            <w:vAlign w:val="center"/>
          </w:tcPr>
          <w:p w14:paraId="4E16ECBF">
            <w:pPr>
              <w:jc w:val="center"/>
              <w:rPr>
                <w:rFonts w:hint="eastAsia" w:ascii="宋体" w:hAnsi="宋体" w:eastAsia="宋体" w:cs="宋体"/>
                <w:i w:val="0"/>
                <w:iCs w:val="0"/>
                <w:color w:val="000000"/>
                <w:sz w:val="22"/>
                <w:szCs w:val="22"/>
                <w:u w:val="none"/>
              </w:rPr>
            </w:pPr>
          </w:p>
        </w:tc>
        <w:tc>
          <w:tcPr>
            <w:tcW w:w="2196" w:type="dxa"/>
            <w:tcBorders>
              <w:top w:val="nil"/>
              <w:left w:val="nil"/>
              <w:bottom w:val="nil"/>
              <w:right w:val="nil"/>
            </w:tcBorders>
            <w:shd w:val="clear" w:color="auto" w:fill="auto"/>
            <w:noWrap/>
            <w:vAlign w:val="center"/>
          </w:tcPr>
          <w:p w14:paraId="126C3FB9">
            <w:pPr>
              <w:jc w:val="center"/>
              <w:rPr>
                <w:rFonts w:hint="eastAsia" w:ascii="宋体" w:hAnsi="宋体" w:eastAsia="宋体" w:cs="宋体"/>
                <w:i w:val="0"/>
                <w:iCs w:val="0"/>
                <w:color w:val="000000"/>
                <w:sz w:val="22"/>
                <w:szCs w:val="22"/>
                <w:u w:val="none"/>
              </w:rPr>
            </w:pPr>
          </w:p>
        </w:tc>
        <w:tc>
          <w:tcPr>
            <w:tcW w:w="2870" w:type="dxa"/>
            <w:tcBorders>
              <w:top w:val="nil"/>
              <w:left w:val="nil"/>
              <w:bottom w:val="nil"/>
              <w:right w:val="nil"/>
            </w:tcBorders>
            <w:shd w:val="clear" w:color="auto" w:fill="auto"/>
            <w:noWrap/>
            <w:vAlign w:val="center"/>
          </w:tcPr>
          <w:p w14:paraId="6AF553E4">
            <w:pPr>
              <w:jc w:val="center"/>
              <w:rPr>
                <w:rFonts w:hint="eastAsia" w:ascii="宋体" w:hAnsi="宋体" w:eastAsia="宋体" w:cs="宋体"/>
                <w:i w:val="0"/>
                <w:iCs w:val="0"/>
                <w:color w:val="000000"/>
                <w:sz w:val="22"/>
                <w:szCs w:val="22"/>
                <w:u w:val="none"/>
              </w:rPr>
            </w:pPr>
          </w:p>
        </w:tc>
      </w:tr>
      <w:tr w14:paraId="0BE7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35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2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特为下面客户报价：</w:t>
            </w:r>
          </w:p>
        </w:tc>
      </w:tr>
      <w:tr w14:paraId="6239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7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公司名称：</w:t>
            </w:r>
          </w:p>
        </w:tc>
        <w:tc>
          <w:tcPr>
            <w:tcW w:w="115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B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四川安立通索桥工程有限公司</w:t>
            </w:r>
          </w:p>
        </w:tc>
      </w:tr>
      <w:tr w14:paraId="0148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6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C8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5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2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B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46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不含税单价</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72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含税单价（13%）</w:t>
            </w:r>
          </w:p>
        </w:tc>
      </w:tr>
      <w:tr w14:paraId="0DA8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D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8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废钢</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68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2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8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120（暂估）</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31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22B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0C5D1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C4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4B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废油绳</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8C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2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5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60（暂估）</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EA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1A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1D2C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trPr>
        <w:tc>
          <w:tcPr>
            <w:tcW w:w="135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2FA37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报价的单位承诺：</w:t>
            </w:r>
          </w:p>
          <w:p w14:paraId="02771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1、中标方在中标后7日内向招标方缴纳1万元保证金，合同到期后10日内无息退还保证金。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2、中标方自行负责装车、运输（国五及以上车辆）。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3、中标方负责装货人员安全责任。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4、当次装车，当次结算，当次付款。</w:t>
            </w:r>
          </w:p>
        </w:tc>
      </w:tr>
      <w:tr w14:paraId="7AC62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978" w:type="dxa"/>
            <w:tcBorders>
              <w:top w:val="nil"/>
              <w:left w:val="nil"/>
              <w:bottom w:val="nil"/>
              <w:right w:val="nil"/>
            </w:tcBorders>
            <w:shd w:val="clear" w:color="auto" w:fill="auto"/>
            <w:noWrap/>
            <w:vAlign w:val="center"/>
          </w:tcPr>
          <w:p w14:paraId="71D8455D">
            <w:pPr>
              <w:jc w:val="center"/>
              <w:rPr>
                <w:rFonts w:hint="eastAsia" w:ascii="宋体" w:hAnsi="宋体" w:eastAsia="宋体" w:cs="宋体"/>
                <w:i w:val="0"/>
                <w:iCs w:val="0"/>
                <w:color w:val="000000"/>
                <w:sz w:val="22"/>
                <w:szCs w:val="22"/>
                <w:u w:val="none"/>
              </w:rPr>
            </w:pPr>
          </w:p>
        </w:tc>
        <w:tc>
          <w:tcPr>
            <w:tcW w:w="1809" w:type="dxa"/>
            <w:tcBorders>
              <w:top w:val="nil"/>
              <w:left w:val="nil"/>
              <w:bottom w:val="nil"/>
              <w:right w:val="nil"/>
            </w:tcBorders>
            <w:shd w:val="clear" w:color="auto" w:fill="auto"/>
            <w:noWrap/>
            <w:vAlign w:val="center"/>
          </w:tcPr>
          <w:p w14:paraId="3685EC3F">
            <w:pPr>
              <w:jc w:val="center"/>
              <w:rPr>
                <w:rFonts w:hint="eastAsia" w:ascii="宋体" w:hAnsi="宋体" w:eastAsia="宋体" w:cs="宋体"/>
                <w:i w:val="0"/>
                <w:iCs w:val="0"/>
                <w:color w:val="000000"/>
                <w:sz w:val="22"/>
                <w:szCs w:val="22"/>
                <w:u w:val="none"/>
              </w:rPr>
            </w:pPr>
          </w:p>
        </w:tc>
        <w:tc>
          <w:tcPr>
            <w:tcW w:w="2414" w:type="dxa"/>
            <w:tcBorders>
              <w:top w:val="nil"/>
              <w:left w:val="nil"/>
              <w:bottom w:val="nil"/>
              <w:right w:val="nil"/>
            </w:tcBorders>
            <w:shd w:val="clear" w:color="auto" w:fill="auto"/>
            <w:noWrap/>
            <w:vAlign w:val="center"/>
          </w:tcPr>
          <w:p w14:paraId="6AC45A00">
            <w:pPr>
              <w:jc w:val="center"/>
              <w:rPr>
                <w:rFonts w:hint="eastAsia" w:ascii="宋体" w:hAnsi="宋体" w:eastAsia="宋体" w:cs="宋体"/>
                <w:i w:val="0"/>
                <w:iCs w:val="0"/>
                <w:color w:val="000000"/>
                <w:sz w:val="22"/>
                <w:szCs w:val="22"/>
                <w:u w:val="none"/>
              </w:rPr>
            </w:pPr>
          </w:p>
        </w:tc>
        <w:tc>
          <w:tcPr>
            <w:tcW w:w="2253" w:type="dxa"/>
            <w:tcBorders>
              <w:top w:val="nil"/>
              <w:left w:val="nil"/>
              <w:bottom w:val="nil"/>
              <w:right w:val="nil"/>
            </w:tcBorders>
            <w:shd w:val="clear" w:color="auto" w:fill="auto"/>
            <w:noWrap/>
            <w:vAlign w:val="center"/>
          </w:tcPr>
          <w:p w14:paraId="4B8A9CE9">
            <w:pPr>
              <w:jc w:val="center"/>
              <w:rPr>
                <w:rFonts w:hint="eastAsia" w:ascii="宋体" w:hAnsi="宋体" w:eastAsia="宋体" w:cs="宋体"/>
                <w:i w:val="0"/>
                <w:iCs w:val="0"/>
                <w:color w:val="000000"/>
                <w:sz w:val="22"/>
                <w:szCs w:val="22"/>
                <w:u w:val="none"/>
              </w:rPr>
            </w:pPr>
          </w:p>
        </w:tc>
        <w:tc>
          <w:tcPr>
            <w:tcW w:w="2196" w:type="dxa"/>
            <w:tcBorders>
              <w:top w:val="nil"/>
              <w:left w:val="nil"/>
              <w:bottom w:val="nil"/>
              <w:right w:val="nil"/>
            </w:tcBorders>
            <w:shd w:val="clear" w:color="auto" w:fill="auto"/>
            <w:noWrap/>
            <w:vAlign w:val="center"/>
          </w:tcPr>
          <w:p w14:paraId="33E776B0">
            <w:pPr>
              <w:jc w:val="center"/>
              <w:rPr>
                <w:rFonts w:hint="eastAsia" w:ascii="宋体" w:hAnsi="宋体" w:eastAsia="宋体" w:cs="宋体"/>
                <w:i w:val="0"/>
                <w:iCs w:val="0"/>
                <w:color w:val="000000"/>
                <w:sz w:val="22"/>
                <w:szCs w:val="22"/>
                <w:u w:val="none"/>
              </w:rPr>
            </w:pPr>
          </w:p>
        </w:tc>
        <w:tc>
          <w:tcPr>
            <w:tcW w:w="2870" w:type="dxa"/>
            <w:tcBorders>
              <w:top w:val="nil"/>
              <w:left w:val="nil"/>
              <w:bottom w:val="nil"/>
              <w:right w:val="nil"/>
            </w:tcBorders>
            <w:shd w:val="clear" w:color="auto" w:fill="auto"/>
            <w:noWrap/>
            <w:vAlign w:val="center"/>
          </w:tcPr>
          <w:p w14:paraId="49A8EFD9">
            <w:pPr>
              <w:jc w:val="center"/>
              <w:rPr>
                <w:rFonts w:hint="eastAsia" w:ascii="宋体" w:hAnsi="宋体" w:eastAsia="宋体" w:cs="宋体"/>
                <w:i w:val="0"/>
                <w:iCs w:val="0"/>
                <w:color w:val="000000"/>
                <w:sz w:val="22"/>
                <w:szCs w:val="22"/>
                <w:u w:val="none"/>
              </w:rPr>
            </w:pPr>
          </w:p>
        </w:tc>
      </w:tr>
      <w:tr w14:paraId="739F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1978" w:type="dxa"/>
            <w:tcBorders>
              <w:top w:val="nil"/>
              <w:left w:val="nil"/>
              <w:bottom w:val="nil"/>
              <w:right w:val="nil"/>
            </w:tcBorders>
            <w:shd w:val="clear" w:color="auto" w:fill="auto"/>
            <w:noWrap/>
            <w:vAlign w:val="center"/>
          </w:tcPr>
          <w:p w14:paraId="48339618">
            <w:pPr>
              <w:jc w:val="center"/>
              <w:rPr>
                <w:rFonts w:hint="eastAsia" w:ascii="宋体" w:hAnsi="宋体" w:eastAsia="宋体" w:cs="宋体"/>
                <w:i w:val="0"/>
                <w:iCs w:val="0"/>
                <w:color w:val="000000"/>
                <w:sz w:val="22"/>
                <w:szCs w:val="22"/>
                <w:u w:val="none"/>
              </w:rPr>
            </w:pPr>
          </w:p>
        </w:tc>
        <w:tc>
          <w:tcPr>
            <w:tcW w:w="1809" w:type="dxa"/>
            <w:tcBorders>
              <w:top w:val="nil"/>
              <w:left w:val="nil"/>
              <w:bottom w:val="nil"/>
              <w:right w:val="nil"/>
            </w:tcBorders>
            <w:shd w:val="clear" w:color="auto" w:fill="auto"/>
            <w:noWrap/>
            <w:vAlign w:val="center"/>
          </w:tcPr>
          <w:p w14:paraId="36815580">
            <w:pPr>
              <w:jc w:val="center"/>
              <w:rPr>
                <w:rFonts w:hint="eastAsia" w:ascii="宋体" w:hAnsi="宋体" w:eastAsia="宋体" w:cs="宋体"/>
                <w:i w:val="0"/>
                <w:iCs w:val="0"/>
                <w:color w:val="000000"/>
                <w:sz w:val="22"/>
                <w:szCs w:val="22"/>
                <w:u w:val="none"/>
              </w:rPr>
            </w:pPr>
          </w:p>
        </w:tc>
        <w:tc>
          <w:tcPr>
            <w:tcW w:w="2414" w:type="dxa"/>
            <w:tcBorders>
              <w:top w:val="nil"/>
              <w:left w:val="nil"/>
              <w:bottom w:val="nil"/>
              <w:right w:val="nil"/>
            </w:tcBorders>
            <w:shd w:val="clear" w:color="auto" w:fill="auto"/>
            <w:noWrap/>
            <w:vAlign w:val="center"/>
          </w:tcPr>
          <w:p w14:paraId="1C96E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报价单位（盖公章）：</w:t>
            </w:r>
          </w:p>
        </w:tc>
        <w:tc>
          <w:tcPr>
            <w:tcW w:w="2253" w:type="dxa"/>
            <w:tcBorders>
              <w:top w:val="nil"/>
              <w:left w:val="nil"/>
              <w:bottom w:val="nil"/>
              <w:right w:val="nil"/>
            </w:tcBorders>
            <w:shd w:val="clear" w:color="auto" w:fill="auto"/>
            <w:noWrap/>
            <w:vAlign w:val="center"/>
          </w:tcPr>
          <w:p w14:paraId="09F4B761">
            <w:pPr>
              <w:jc w:val="center"/>
              <w:rPr>
                <w:rFonts w:hint="eastAsia" w:ascii="宋体" w:hAnsi="宋体" w:eastAsia="宋体" w:cs="宋体"/>
                <w:i w:val="0"/>
                <w:iCs w:val="0"/>
                <w:color w:val="000000"/>
                <w:sz w:val="22"/>
                <w:szCs w:val="22"/>
                <w:u w:val="none"/>
              </w:rPr>
            </w:pPr>
          </w:p>
        </w:tc>
        <w:tc>
          <w:tcPr>
            <w:tcW w:w="2196" w:type="dxa"/>
            <w:tcBorders>
              <w:top w:val="nil"/>
              <w:left w:val="nil"/>
              <w:bottom w:val="nil"/>
              <w:right w:val="nil"/>
            </w:tcBorders>
            <w:shd w:val="clear" w:color="auto" w:fill="auto"/>
            <w:noWrap/>
            <w:vAlign w:val="center"/>
          </w:tcPr>
          <w:p w14:paraId="387506AD">
            <w:pPr>
              <w:jc w:val="center"/>
              <w:rPr>
                <w:rFonts w:hint="eastAsia" w:ascii="宋体" w:hAnsi="宋体" w:eastAsia="宋体" w:cs="宋体"/>
                <w:i w:val="0"/>
                <w:iCs w:val="0"/>
                <w:color w:val="000000"/>
                <w:sz w:val="22"/>
                <w:szCs w:val="22"/>
                <w:u w:val="none"/>
              </w:rPr>
            </w:pPr>
          </w:p>
        </w:tc>
        <w:tc>
          <w:tcPr>
            <w:tcW w:w="2870" w:type="dxa"/>
            <w:tcBorders>
              <w:top w:val="nil"/>
              <w:left w:val="nil"/>
              <w:bottom w:val="nil"/>
              <w:right w:val="nil"/>
            </w:tcBorders>
            <w:shd w:val="clear" w:color="auto" w:fill="auto"/>
            <w:noWrap/>
            <w:vAlign w:val="center"/>
          </w:tcPr>
          <w:p w14:paraId="0815C43F">
            <w:pPr>
              <w:jc w:val="center"/>
              <w:rPr>
                <w:rFonts w:hint="eastAsia" w:ascii="宋体" w:hAnsi="宋体" w:eastAsia="宋体" w:cs="宋体"/>
                <w:i w:val="0"/>
                <w:iCs w:val="0"/>
                <w:color w:val="000000"/>
                <w:sz w:val="22"/>
                <w:szCs w:val="22"/>
                <w:u w:val="none"/>
              </w:rPr>
            </w:pPr>
          </w:p>
        </w:tc>
      </w:tr>
      <w:tr w14:paraId="58F0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978" w:type="dxa"/>
            <w:tcBorders>
              <w:top w:val="nil"/>
              <w:left w:val="nil"/>
              <w:bottom w:val="nil"/>
              <w:right w:val="nil"/>
            </w:tcBorders>
            <w:shd w:val="clear" w:color="auto" w:fill="auto"/>
            <w:noWrap/>
            <w:vAlign w:val="center"/>
          </w:tcPr>
          <w:p w14:paraId="71F774EC">
            <w:pPr>
              <w:jc w:val="center"/>
              <w:rPr>
                <w:rFonts w:hint="eastAsia" w:ascii="宋体" w:hAnsi="宋体" w:eastAsia="宋体" w:cs="宋体"/>
                <w:i w:val="0"/>
                <w:iCs w:val="0"/>
                <w:color w:val="000000"/>
                <w:sz w:val="22"/>
                <w:szCs w:val="22"/>
                <w:u w:val="none"/>
              </w:rPr>
            </w:pPr>
          </w:p>
        </w:tc>
        <w:tc>
          <w:tcPr>
            <w:tcW w:w="1809" w:type="dxa"/>
            <w:tcBorders>
              <w:top w:val="nil"/>
              <w:left w:val="nil"/>
              <w:bottom w:val="nil"/>
              <w:right w:val="nil"/>
            </w:tcBorders>
            <w:shd w:val="clear" w:color="auto" w:fill="auto"/>
            <w:noWrap/>
            <w:vAlign w:val="center"/>
          </w:tcPr>
          <w:p w14:paraId="61BF738E">
            <w:pPr>
              <w:jc w:val="center"/>
              <w:rPr>
                <w:rFonts w:hint="eastAsia" w:ascii="宋体" w:hAnsi="宋体" w:eastAsia="宋体" w:cs="宋体"/>
                <w:i w:val="0"/>
                <w:iCs w:val="0"/>
                <w:color w:val="000000"/>
                <w:sz w:val="22"/>
                <w:szCs w:val="22"/>
                <w:u w:val="none"/>
              </w:rPr>
            </w:pPr>
          </w:p>
        </w:tc>
        <w:tc>
          <w:tcPr>
            <w:tcW w:w="2414" w:type="dxa"/>
            <w:tcBorders>
              <w:top w:val="nil"/>
              <w:left w:val="nil"/>
              <w:bottom w:val="nil"/>
              <w:right w:val="nil"/>
            </w:tcBorders>
            <w:shd w:val="clear" w:color="auto" w:fill="auto"/>
            <w:noWrap/>
            <w:vAlign w:val="center"/>
          </w:tcPr>
          <w:p w14:paraId="47F1D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报价日期：</w:t>
            </w:r>
          </w:p>
        </w:tc>
        <w:tc>
          <w:tcPr>
            <w:tcW w:w="2253" w:type="dxa"/>
            <w:tcBorders>
              <w:top w:val="nil"/>
              <w:left w:val="nil"/>
              <w:bottom w:val="nil"/>
              <w:right w:val="nil"/>
            </w:tcBorders>
            <w:shd w:val="clear" w:color="auto" w:fill="auto"/>
            <w:noWrap/>
            <w:vAlign w:val="center"/>
          </w:tcPr>
          <w:p w14:paraId="236A0898">
            <w:pPr>
              <w:jc w:val="center"/>
              <w:rPr>
                <w:rFonts w:hint="eastAsia" w:ascii="宋体" w:hAnsi="宋体" w:eastAsia="宋体" w:cs="宋体"/>
                <w:i w:val="0"/>
                <w:iCs w:val="0"/>
                <w:color w:val="000000"/>
                <w:sz w:val="22"/>
                <w:szCs w:val="22"/>
                <w:u w:val="none"/>
              </w:rPr>
            </w:pPr>
          </w:p>
        </w:tc>
        <w:tc>
          <w:tcPr>
            <w:tcW w:w="2196" w:type="dxa"/>
            <w:tcBorders>
              <w:top w:val="nil"/>
              <w:left w:val="nil"/>
              <w:bottom w:val="nil"/>
              <w:right w:val="nil"/>
            </w:tcBorders>
            <w:shd w:val="clear" w:color="auto" w:fill="auto"/>
            <w:noWrap/>
            <w:vAlign w:val="center"/>
          </w:tcPr>
          <w:p w14:paraId="0D1BD857">
            <w:pPr>
              <w:jc w:val="center"/>
              <w:rPr>
                <w:rFonts w:hint="eastAsia" w:ascii="宋体" w:hAnsi="宋体" w:eastAsia="宋体" w:cs="宋体"/>
                <w:i w:val="0"/>
                <w:iCs w:val="0"/>
                <w:color w:val="000000"/>
                <w:sz w:val="22"/>
                <w:szCs w:val="22"/>
                <w:u w:val="none"/>
              </w:rPr>
            </w:pPr>
          </w:p>
        </w:tc>
        <w:tc>
          <w:tcPr>
            <w:tcW w:w="2870" w:type="dxa"/>
            <w:tcBorders>
              <w:top w:val="nil"/>
              <w:left w:val="nil"/>
              <w:bottom w:val="nil"/>
              <w:right w:val="nil"/>
            </w:tcBorders>
            <w:shd w:val="clear" w:color="auto" w:fill="auto"/>
            <w:noWrap/>
            <w:vAlign w:val="center"/>
          </w:tcPr>
          <w:p w14:paraId="7E44D75F">
            <w:pPr>
              <w:jc w:val="center"/>
              <w:rPr>
                <w:rFonts w:hint="eastAsia" w:ascii="宋体" w:hAnsi="宋体" w:eastAsia="宋体" w:cs="宋体"/>
                <w:i w:val="0"/>
                <w:iCs w:val="0"/>
                <w:color w:val="000000"/>
                <w:sz w:val="22"/>
                <w:szCs w:val="22"/>
                <w:u w:val="none"/>
              </w:rPr>
            </w:pPr>
          </w:p>
        </w:tc>
      </w:tr>
    </w:tbl>
    <w:p w14:paraId="138625A6">
      <w:pPr>
        <w:pStyle w:val="7"/>
        <w:rPr>
          <w:lang w:val="en-US" w:bidi="ar-SA"/>
        </w:rPr>
      </w:pPr>
    </w:p>
    <w:p w14:paraId="2D512E34">
      <w:pPr>
        <w:widowControl/>
        <w:jc w:val="left"/>
        <w:rPr>
          <w:lang w:val="en-US" w:bidi="ar-SA"/>
        </w:rPr>
      </w:pPr>
    </w:p>
    <w:sectPr>
      <w:headerReference r:id="rId4" w:type="default"/>
      <w:footerReference r:id="rId5" w:type="default"/>
      <w:footerReference r:id="rId6" w:type="even"/>
      <w:pgSz w:w="16838" w:h="11906" w:orient="landscape"/>
      <w:pgMar w:top="851" w:right="907" w:bottom="851" w:left="90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D41EE">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B2F6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5B2F6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F9516">
    <w:pPr>
      <w:pStyle w:val="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9ECE0">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319ECE0">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598F0">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3</w:t>
    </w:r>
    <w:r>
      <w:fldChar w:fldCharType="end"/>
    </w:r>
  </w:p>
  <w:p w14:paraId="4F375023">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5D13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DDC4E"/>
    <w:multiLevelType w:val="singleLevel"/>
    <w:tmpl w:val="C53DDC4E"/>
    <w:lvl w:ilvl="0" w:tentative="0">
      <w:start w:val="1"/>
      <w:numFmt w:val="chineseCounting"/>
      <w:suff w:val="nothing"/>
      <w:lvlText w:val="%1、"/>
      <w:lvlJc w:val="left"/>
      <w:rPr>
        <w:rFonts w:hint="eastAsia"/>
      </w:rPr>
    </w:lvl>
  </w:abstractNum>
  <w:abstractNum w:abstractNumId="1">
    <w:nsid w:val="F9E75507"/>
    <w:multiLevelType w:val="singleLevel"/>
    <w:tmpl w:val="F9E75507"/>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OTRmMzBkNjUxZjI3ZWFkM2U0NWQ0NmM1OThjZDgifQ=="/>
  </w:docVars>
  <w:rsids>
    <w:rsidRoot w:val="6366186B"/>
    <w:rsid w:val="0003667E"/>
    <w:rsid w:val="00060F41"/>
    <w:rsid w:val="002955FF"/>
    <w:rsid w:val="002F7C8D"/>
    <w:rsid w:val="003536EA"/>
    <w:rsid w:val="00483F71"/>
    <w:rsid w:val="004D6377"/>
    <w:rsid w:val="00565C14"/>
    <w:rsid w:val="005D6509"/>
    <w:rsid w:val="006E6DDF"/>
    <w:rsid w:val="00827DE0"/>
    <w:rsid w:val="00997B13"/>
    <w:rsid w:val="00B94172"/>
    <w:rsid w:val="00CD4CFA"/>
    <w:rsid w:val="00D2778C"/>
    <w:rsid w:val="00ED7034"/>
    <w:rsid w:val="00FE7412"/>
    <w:rsid w:val="01154D3F"/>
    <w:rsid w:val="017D75D9"/>
    <w:rsid w:val="0BCA4CB2"/>
    <w:rsid w:val="0BF04F64"/>
    <w:rsid w:val="0D074A6C"/>
    <w:rsid w:val="121C32C6"/>
    <w:rsid w:val="174C311B"/>
    <w:rsid w:val="18B5149C"/>
    <w:rsid w:val="199D3F96"/>
    <w:rsid w:val="1A39185D"/>
    <w:rsid w:val="1F07713E"/>
    <w:rsid w:val="1F7F1DD4"/>
    <w:rsid w:val="23BA2F97"/>
    <w:rsid w:val="28167080"/>
    <w:rsid w:val="2A08297F"/>
    <w:rsid w:val="2AC67038"/>
    <w:rsid w:val="2DE62848"/>
    <w:rsid w:val="2EA756E3"/>
    <w:rsid w:val="307D48E1"/>
    <w:rsid w:val="32C23872"/>
    <w:rsid w:val="32EE251C"/>
    <w:rsid w:val="34A018E6"/>
    <w:rsid w:val="3C0D345A"/>
    <w:rsid w:val="3C4D3AB0"/>
    <w:rsid w:val="3CA20A3B"/>
    <w:rsid w:val="3D3709FF"/>
    <w:rsid w:val="3DFB4929"/>
    <w:rsid w:val="3F1D32FF"/>
    <w:rsid w:val="42514669"/>
    <w:rsid w:val="433A3292"/>
    <w:rsid w:val="43B167AA"/>
    <w:rsid w:val="45AB028E"/>
    <w:rsid w:val="45B8114E"/>
    <w:rsid w:val="483D156B"/>
    <w:rsid w:val="48F5691C"/>
    <w:rsid w:val="49904129"/>
    <w:rsid w:val="4AA97B9F"/>
    <w:rsid w:val="4D1F19DC"/>
    <w:rsid w:val="4D423386"/>
    <w:rsid w:val="53066762"/>
    <w:rsid w:val="586E69DF"/>
    <w:rsid w:val="588E0972"/>
    <w:rsid w:val="5A466993"/>
    <w:rsid w:val="5A500518"/>
    <w:rsid w:val="5A767B16"/>
    <w:rsid w:val="5ACC43F0"/>
    <w:rsid w:val="5B3240FE"/>
    <w:rsid w:val="5D592468"/>
    <w:rsid w:val="5D942CDE"/>
    <w:rsid w:val="5F03343C"/>
    <w:rsid w:val="60B41562"/>
    <w:rsid w:val="62DB68C0"/>
    <w:rsid w:val="636360E0"/>
    <w:rsid w:val="6366186B"/>
    <w:rsid w:val="63E944D3"/>
    <w:rsid w:val="64F56445"/>
    <w:rsid w:val="6AEB3AC8"/>
    <w:rsid w:val="6D6651ED"/>
    <w:rsid w:val="6F460571"/>
    <w:rsid w:val="71807EB6"/>
    <w:rsid w:val="745751DF"/>
    <w:rsid w:val="7525529E"/>
    <w:rsid w:val="759B70D5"/>
    <w:rsid w:val="76FC2627"/>
    <w:rsid w:val="772E0EFE"/>
    <w:rsid w:val="77EC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qFormat/>
    <w:uiPriority w:val="0"/>
    <w:pPr>
      <w:jc w:val="left"/>
    </w:pPr>
  </w:style>
  <w:style w:type="paragraph" w:styleId="6">
    <w:name w:val="Body Text 3"/>
    <w:basedOn w:val="1"/>
    <w:qFormat/>
    <w:uiPriority w:val="0"/>
    <w:rPr>
      <w:rFonts w:ascii="宋体" w:cs="Times New Roman"/>
      <w:sz w:val="24"/>
      <w:szCs w:val="20"/>
      <w:lang w:val="zh-CN"/>
    </w:rPr>
  </w:style>
  <w:style w:type="paragraph" w:styleId="7">
    <w:name w:val="Body Text"/>
    <w:basedOn w:val="1"/>
    <w:unhideWhenUsed/>
    <w:qFormat/>
    <w:uiPriority w:val="99"/>
    <w:rPr>
      <w:rFonts w:ascii="宋体" w:hAnsi="宋体" w:eastAsia="宋体" w:cs="宋体"/>
      <w:lang w:val="zh-CN" w:bidi="zh-CN"/>
    </w:rPr>
  </w:style>
  <w:style w:type="paragraph" w:styleId="8">
    <w:name w:val="Body Text Indent"/>
    <w:basedOn w:val="1"/>
    <w:qFormat/>
    <w:uiPriority w:val="0"/>
    <w:pPr>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5"/>
    <w:next w:val="5"/>
    <w:link w:val="27"/>
    <w:qFormat/>
    <w:uiPriority w:val="0"/>
    <w:rPr>
      <w:b/>
      <w:bCs/>
    </w:rPr>
  </w:style>
  <w:style w:type="paragraph" w:styleId="13">
    <w:name w:val="Body Text First Indent 2"/>
    <w:basedOn w:val="8"/>
    <w:unhideWhenUsed/>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character" w:customStyle="1" w:styleId="20">
    <w:name w:val="font21"/>
    <w:basedOn w:val="16"/>
    <w:qFormat/>
    <w:uiPriority w:val="0"/>
    <w:rPr>
      <w:rFonts w:hint="default" w:ascii="Times New Roman" w:hAnsi="Times New Roman" w:cs="Times New Roman"/>
      <w:color w:val="000000"/>
      <w:sz w:val="16"/>
      <w:szCs w:val="16"/>
      <w:u w:val="none"/>
    </w:rPr>
  </w:style>
  <w:style w:type="character" w:customStyle="1" w:styleId="21">
    <w:name w:val="font11"/>
    <w:basedOn w:val="16"/>
    <w:qFormat/>
    <w:uiPriority w:val="0"/>
    <w:rPr>
      <w:rFonts w:hint="eastAsia" w:ascii="宋体" w:hAnsi="宋体" w:eastAsia="宋体" w:cs="宋体"/>
      <w:color w:val="000000"/>
      <w:sz w:val="16"/>
      <w:szCs w:val="16"/>
      <w:u w:val="none"/>
    </w:rPr>
  </w:style>
  <w:style w:type="character" w:customStyle="1" w:styleId="22">
    <w:name w:val="font31"/>
    <w:basedOn w:val="16"/>
    <w:qFormat/>
    <w:uiPriority w:val="0"/>
    <w:rPr>
      <w:rFonts w:hint="eastAsia" w:ascii="宋体" w:hAnsi="宋体" w:eastAsia="宋体" w:cs="宋体"/>
      <w:color w:val="000000"/>
      <w:sz w:val="18"/>
      <w:szCs w:val="18"/>
      <w:u w:val="single"/>
    </w:rPr>
  </w:style>
  <w:style w:type="character" w:customStyle="1" w:styleId="23">
    <w:name w:val="font91"/>
    <w:basedOn w:val="16"/>
    <w:qFormat/>
    <w:uiPriority w:val="0"/>
    <w:rPr>
      <w:rFonts w:hint="default" w:ascii="Times New Roman" w:hAnsi="Times New Roman" w:cs="Times New Roman"/>
      <w:color w:val="000000"/>
      <w:sz w:val="18"/>
      <w:szCs w:val="18"/>
      <w:u w:val="single"/>
    </w:rPr>
  </w:style>
  <w:style w:type="character" w:customStyle="1" w:styleId="24">
    <w:name w:val="font101"/>
    <w:basedOn w:val="16"/>
    <w:qFormat/>
    <w:uiPriority w:val="0"/>
    <w:rPr>
      <w:rFonts w:hint="eastAsia" w:ascii="宋体" w:hAnsi="宋体" w:eastAsia="宋体" w:cs="宋体"/>
      <w:color w:val="000000"/>
      <w:sz w:val="19"/>
      <w:szCs w:val="19"/>
      <w:u w:val="none"/>
    </w:rPr>
  </w:style>
  <w:style w:type="paragraph" w:customStyle="1" w:styleId="25">
    <w:name w:val="正文 含缩进"/>
    <w:basedOn w:val="1"/>
    <w:qFormat/>
    <w:uiPriority w:val="0"/>
    <w:pPr>
      <w:ind w:firstLine="424" w:firstLineChars="202"/>
      <w:jc w:val="left"/>
    </w:pPr>
  </w:style>
  <w:style w:type="character" w:customStyle="1" w:styleId="26">
    <w:name w:val="批注文字 字符"/>
    <w:basedOn w:val="16"/>
    <w:link w:val="5"/>
    <w:qFormat/>
    <w:uiPriority w:val="0"/>
    <w:rPr>
      <w:rFonts w:asciiTheme="minorHAnsi" w:hAnsiTheme="minorHAnsi" w:eastAsiaTheme="minorEastAsia" w:cstheme="minorBidi"/>
      <w:kern w:val="2"/>
      <w:sz w:val="21"/>
      <w:szCs w:val="24"/>
    </w:rPr>
  </w:style>
  <w:style w:type="character" w:customStyle="1" w:styleId="27">
    <w:name w:val="批注主题 字符"/>
    <w:basedOn w:val="26"/>
    <w:link w:val="12"/>
    <w:qFormat/>
    <w:uiPriority w:val="0"/>
    <w:rPr>
      <w:rFonts w:asciiTheme="minorHAnsi" w:hAnsiTheme="minorHAnsi" w:eastAsiaTheme="minorEastAsia" w:cstheme="minorBidi"/>
      <w:b/>
      <w:bCs/>
      <w:kern w:val="2"/>
      <w:sz w:val="21"/>
      <w:szCs w:val="24"/>
    </w:rPr>
  </w:style>
  <w:style w:type="character" w:customStyle="1" w:styleId="28">
    <w:name w:val="font81"/>
    <w:basedOn w:val="16"/>
    <w:qFormat/>
    <w:uiPriority w:val="0"/>
    <w:rPr>
      <w:rFonts w:hint="eastAsia" w:ascii="宋体" w:hAnsi="宋体" w:eastAsia="宋体" w:cs="宋体"/>
      <w:b/>
      <w:bCs/>
      <w:color w:val="000000"/>
      <w:sz w:val="28"/>
      <w:szCs w:val="28"/>
      <w:u w:val="single"/>
    </w:rPr>
  </w:style>
  <w:style w:type="character" w:customStyle="1" w:styleId="29">
    <w:name w:val="font112"/>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1320</Words>
  <Characters>1453</Characters>
  <Lines>46</Lines>
  <Paragraphs>13</Paragraphs>
  <TotalTime>34</TotalTime>
  <ScaleCrop>false</ScaleCrop>
  <LinksUpToDate>false</LinksUpToDate>
  <CharactersWithSpaces>1557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2022-08-10T06:49:00Z</dcterms:created>
  <dc:creator>莎莎</dc:creator>
  <cp:lastModifiedBy>马骏</cp:lastModifiedBy>
  <dcterms:modified xsi:type="dcterms:W3CDTF">2024-11-26T08:54:35Z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3BD06B65A89542F28FFB8960B0A7168B_13</vt:lpwstr>
  </property>
</Properties>
</file>