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hint="eastAsia" w:ascii="黑体" w:hAnsi="黑体" w:eastAsia="黑体"/>
          <w:b/>
          <w:sz w:val="52"/>
          <w:szCs w:val="52"/>
        </w:rPr>
      </w:pPr>
      <w:r>
        <w:rPr>
          <w:rFonts w:hint="eastAsia" w:ascii="黑体" w:hAnsi="黑体" w:eastAsia="黑体"/>
          <w:b/>
          <w:sz w:val="52"/>
          <w:szCs w:val="52"/>
          <w:lang w:val="en-US" w:eastAsia="zh-CN"/>
        </w:rPr>
        <w:t>开梁项目</w:t>
      </w:r>
      <w:r>
        <w:rPr>
          <w:rFonts w:hint="eastAsia" w:ascii="黑体" w:hAnsi="黑体" w:eastAsia="黑体"/>
          <w:b/>
          <w:sz w:val="52"/>
          <w:szCs w:val="52"/>
        </w:rPr>
        <w:t>钢梁运输招标</w:t>
      </w:r>
    </w:p>
    <w:p/>
    <w:p>
      <w:pPr>
        <w:pStyle w:val="9"/>
      </w:pPr>
    </w:p>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
      <w:pPr>
        <w:pStyle w:val="9"/>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color w:val="auto"/>
          <w:sz w:val="32"/>
          <w:szCs w:val="32"/>
          <w:lang w:val="en-US" w:eastAsia="zh-CN"/>
        </w:rPr>
      </w:pPr>
      <w:r>
        <w:rPr>
          <w:rFonts w:hint="eastAsia" w:ascii="黑体" w:hAnsi="黑体" w:eastAsia="黑体"/>
          <w:sz w:val="32"/>
          <w:szCs w:val="32"/>
        </w:rPr>
        <w:t xml:space="preserve">招（议）标编号： </w:t>
      </w:r>
      <w:r>
        <w:rPr>
          <w:rFonts w:hint="eastAsia" w:ascii="黑体" w:hAnsi="黑体" w:eastAsia="黑体"/>
          <w:color w:val="auto"/>
          <w:sz w:val="32"/>
          <w:szCs w:val="32"/>
        </w:rPr>
        <w:t>CG-XTY-202</w:t>
      </w:r>
      <w:r>
        <w:rPr>
          <w:rFonts w:hint="eastAsia" w:ascii="黑体" w:hAnsi="黑体" w:eastAsia="黑体"/>
          <w:color w:val="auto"/>
          <w:sz w:val="32"/>
          <w:szCs w:val="32"/>
          <w:lang w:val="en-US" w:eastAsia="zh-CN"/>
        </w:rPr>
        <w:t>30818</w:t>
      </w:r>
    </w:p>
    <w:p/>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
    <w:p/>
    <w:p>
      <w:pPr>
        <w:pStyle w:val="8"/>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color w:val="auto"/>
        </w:rPr>
      </w:pPr>
      <w:r>
        <w:rPr>
          <w:rFonts w:hint="eastAsia" w:ascii="黑体" w:hAnsi="黑体" w:eastAsia="黑体"/>
          <w:color w:val="auto"/>
          <w:sz w:val="32"/>
          <w:szCs w:val="32"/>
        </w:rPr>
        <w:t>202</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8</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18</w:t>
      </w:r>
      <w:r>
        <w:rPr>
          <w:rFonts w:hint="eastAsia" w:ascii="黑体" w:hAnsi="黑体" w:eastAsia="黑体"/>
          <w:color w:val="auto"/>
          <w:sz w:val="32"/>
          <w:szCs w:val="32"/>
        </w:rPr>
        <w:t>日</w:t>
      </w:r>
    </w:p>
    <w:p/>
    <w:p>
      <w:pPr>
        <w:pStyle w:val="9"/>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开梁高速项目钢箱</w:t>
      </w:r>
      <w:r>
        <w:rPr>
          <w:rFonts w:hint="eastAsia"/>
          <w:color w:val="000000" w:themeColor="text1"/>
          <w:sz w:val="24"/>
          <w14:textFill>
            <w14:solidFill>
              <w14:schemeClr w14:val="tx1"/>
            </w14:solidFill>
          </w14:textFill>
        </w:rPr>
        <w:t>梁运输招标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、招标内容：钢箱梁运输，参数详见附件《报价清单表》。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、计划运输时间段：</w:t>
      </w:r>
      <w:r>
        <w:rPr>
          <w:rFonts w:hint="eastAsia"/>
          <w:color w:val="FF0000"/>
          <w:sz w:val="24"/>
        </w:rPr>
        <w:t>202</w:t>
      </w:r>
      <w:r>
        <w:rPr>
          <w:rFonts w:hint="eastAsia"/>
          <w:color w:val="FF0000"/>
          <w:sz w:val="24"/>
          <w:lang w:val="en-US" w:eastAsia="zh-CN"/>
        </w:rPr>
        <w:t>3</w:t>
      </w:r>
      <w:r>
        <w:rPr>
          <w:rFonts w:hint="eastAsia"/>
          <w:color w:val="FF0000"/>
          <w:sz w:val="24"/>
        </w:rPr>
        <w:t>年</w:t>
      </w:r>
      <w:r>
        <w:rPr>
          <w:rFonts w:hint="eastAsia"/>
          <w:color w:val="FF0000"/>
          <w:sz w:val="24"/>
          <w:lang w:val="en-US" w:eastAsia="zh-CN"/>
        </w:rPr>
        <w:t>9</w:t>
      </w:r>
      <w:r>
        <w:rPr>
          <w:rFonts w:hint="eastAsia"/>
          <w:color w:val="FF0000"/>
          <w:sz w:val="24"/>
        </w:rPr>
        <w:t>月--202</w:t>
      </w:r>
      <w:r>
        <w:rPr>
          <w:rFonts w:hint="eastAsia"/>
          <w:color w:val="FF0000"/>
          <w:sz w:val="24"/>
          <w:lang w:val="en-US" w:eastAsia="zh-CN"/>
        </w:rPr>
        <w:t>3</w:t>
      </w:r>
      <w:r>
        <w:rPr>
          <w:rFonts w:hint="eastAsia"/>
          <w:color w:val="FF0000"/>
          <w:sz w:val="24"/>
        </w:rPr>
        <w:t>年</w:t>
      </w:r>
      <w:r>
        <w:rPr>
          <w:rFonts w:hint="eastAsia"/>
          <w:color w:val="FF0000"/>
          <w:sz w:val="24"/>
          <w:lang w:val="en-US" w:eastAsia="zh-CN"/>
        </w:rPr>
        <w:t>10月</w:t>
      </w:r>
      <w:r>
        <w:rPr>
          <w:rFonts w:hint="eastAsia"/>
          <w:color w:val="000000" w:themeColor="text1"/>
          <w:sz w:val="24"/>
          <w14:textFill>
            <w14:solidFill>
              <w14:schemeClr w14:val="tx1"/>
            </w14:solidFill>
          </w14:textFill>
        </w:rPr>
        <w:t>（具体发运顺序根据现场吊装顺序进行安排）。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9"/>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lang w:val="en-US" w:eastAsia="zh-CN"/>
        </w:rPr>
        <w:t>整个工程</w:t>
      </w:r>
      <w:r>
        <w:rPr>
          <w:rFonts w:hint="eastAsia"/>
          <w:sz w:val="24"/>
        </w:rPr>
        <w:t>完成，双方办理</w:t>
      </w:r>
      <w:r>
        <w:rPr>
          <w:rFonts w:hint="eastAsia"/>
          <w:sz w:val="24"/>
          <w:lang w:eastAsia="zh-CN"/>
        </w:rPr>
        <w:t>最终</w:t>
      </w:r>
      <w:r>
        <w:rPr>
          <w:rFonts w:hint="eastAsia"/>
          <w:sz w:val="24"/>
        </w:rPr>
        <w:t>结算后支付至结算总额的100%。</w:t>
      </w:r>
    </w:p>
    <w:p>
      <w:pPr>
        <w:pStyle w:val="10"/>
        <w:spacing w:line="360" w:lineRule="auto"/>
        <w:ind w:left="0" w:leftChars="0" w:firstLine="480" w:firstLineChars="200"/>
      </w:pPr>
      <w:r>
        <w:rPr>
          <w:rFonts w:hint="eastAsia"/>
          <w:sz w:val="24"/>
        </w:rPr>
        <w:t>（2）甲方在支付进度款前，乙方须开具相应金额的增值税专用发票。</w:t>
      </w:r>
    </w:p>
    <w:p>
      <w:pPr>
        <w:pStyle w:val="9"/>
        <w:spacing w:line="360" w:lineRule="auto"/>
        <w:ind w:firstLine="480" w:firstLineChars="200"/>
        <w:rPr>
          <w:sz w:val="24"/>
          <w:lang w:val="en-US"/>
        </w:rPr>
      </w:pPr>
      <w:r>
        <w:rPr>
          <w:rFonts w:hint="eastAsia"/>
          <w:sz w:val="24"/>
          <w:lang w:val="en-US"/>
        </w:rPr>
        <w:t>说明：首次合作供应商签订合同后须缴纳履约保证金</w:t>
      </w:r>
      <w:r>
        <w:rPr>
          <w:rFonts w:hint="eastAsia"/>
          <w:sz w:val="24"/>
          <w:lang w:val="en-US" w:eastAsia="zh-CN"/>
        </w:rPr>
        <w:t>伍</w:t>
      </w:r>
      <w:r>
        <w:rPr>
          <w:rFonts w:hint="eastAsia"/>
          <w:sz w:val="24"/>
          <w:lang w:val="en-US"/>
        </w:rPr>
        <w:t>万元整（¥</w:t>
      </w:r>
      <w:r>
        <w:rPr>
          <w:rFonts w:hint="eastAsia"/>
          <w:sz w:val="24"/>
          <w:lang w:val="en-US" w:eastAsia="zh-CN"/>
        </w:rPr>
        <w:t>5</w:t>
      </w:r>
      <w:r>
        <w:rPr>
          <w:sz w:val="24"/>
          <w:lang w:val="en-US"/>
        </w:rPr>
        <w:t>0000</w:t>
      </w:r>
      <w:r>
        <w:rPr>
          <w:rFonts w:hint="eastAsia"/>
          <w:sz w:val="24"/>
          <w:lang w:val="en-US"/>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具有独立法人资格，持有效的营业执照、道路运输经营许可证，</w:t>
      </w:r>
      <w:r>
        <w:rPr>
          <w:rFonts w:hint="eastAsia"/>
          <w:sz w:val="24"/>
        </w:rPr>
        <w:t>注册资本不得小于</w:t>
      </w:r>
      <w:r>
        <w:rPr>
          <w:sz w:val="24"/>
        </w:rPr>
        <w:t>1</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u w:val="single"/>
        </w:rPr>
        <w:t>scxtygq@126.com</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w:t>
      </w:r>
      <w:r>
        <w:rPr>
          <w:rFonts w:hint="eastAsia"/>
          <w:color w:val="FF0000"/>
          <w:sz w:val="24"/>
        </w:rPr>
        <w:t>202</w:t>
      </w:r>
      <w:r>
        <w:rPr>
          <w:rFonts w:hint="eastAsia"/>
          <w:color w:val="FF0000"/>
          <w:sz w:val="24"/>
          <w:lang w:val="en-US" w:eastAsia="zh-CN"/>
        </w:rPr>
        <w:t>3</w:t>
      </w:r>
      <w:r>
        <w:rPr>
          <w:rFonts w:hint="eastAsia"/>
          <w:color w:val="FF0000"/>
          <w:sz w:val="24"/>
        </w:rPr>
        <w:t>年</w:t>
      </w:r>
      <w:r>
        <w:rPr>
          <w:rFonts w:hint="eastAsia"/>
          <w:color w:val="FF0000"/>
          <w:sz w:val="24"/>
          <w:lang w:val="en-US" w:eastAsia="zh-CN"/>
        </w:rPr>
        <w:t>8</w:t>
      </w:r>
      <w:r>
        <w:rPr>
          <w:rFonts w:hint="eastAsia"/>
          <w:color w:val="FF0000"/>
          <w:sz w:val="24"/>
        </w:rPr>
        <w:t>月</w:t>
      </w:r>
      <w:r>
        <w:rPr>
          <w:rFonts w:hint="eastAsia"/>
          <w:color w:val="FF0000"/>
          <w:sz w:val="24"/>
          <w:lang w:val="en-US" w:eastAsia="zh-CN"/>
        </w:rPr>
        <w:t>24</w:t>
      </w:r>
      <w:r>
        <w:rPr>
          <w:rFonts w:hint="eastAsia"/>
          <w:color w:val="FF0000"/>
          <w:sz w:val="24"/>
        </w:rPr>
        <w:t>日</w:t>
      </w:r>
      <w:r>
        <w:rPr>
          <w:rFonts w:hint="eastAsia"/>
          <w:color w:val="auto"/>
          <w:sz w:val="24"/>
        </w:rPr>
        <w:t>上午</w:t>
      </w:r>
      <w:r>
        <w:rPr>
          <w:color w:val="auto"/>
          <w:sz w:val="24"/>
        </w:rPr>
        <w:t>9</w:t>
      </w:r>
      <w:r>
        <w:rPr>
          <w:rFonts w:hint="eastAsia"/>
          <w:color w:val="auto"/>
          <w:sz w:val="24"/>
        </w:rPr>
        <w:t>:00</w:t>
      </w:r>
      <w:r>
        <w:rPr>
          <w:rFonts w:hint="eastAsia"/>
          <w:color w:val="000000" w:themeColor="text1"/>
          <w:sz w:val="24"/>
          <w14:textFill>
            <w14:solidFill>
              <w14:schemeClr w14:val="tx1"/>
            </w14:solidFill>
          </w14:textFill>
        </w:rPr>
        <w:t>，兴天元钢桥20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9"/>
        <w:spacing w:line="360" w:lineRule="auto"/>
        <w:ind w:firstLine="480" w:firstLineChars="200"/>
        <w:rPr>
          <w:rFonts w:hint="eastAsia"/>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pStyle w:val="9"/>
        <w:spacing w:line="360" w:lineRule="auto"/>
        <w:ind w:firstLine="480" w:firstLineChars="200"/>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4、投标邮件标题格式：招标名称+报价单位</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 xml:space="preserve">曾志辉  13558614786  </w:t>
      </w:r>
    </w:p>
    <w:p>
      <w:pPr>
        <w:numPr>
          <w:ilvl w:val="0"/>
          <w:numId w:val="0"/>
        </w:numPr>
        <w:spacing w:line="360" w:lineRule="auto"/>
        <w:ind w:firstLine="480" w:firstLineChars="200"/>
        <w:rPr>
          <w:rFonts w:hint="default"/>
          <w:lang w:val="en-US" w:eastAsia="zh-CN"/>
        </w:rPr>
      </w:pPr>
      <w:r>
        <w:rPr>
          <w:rFonts w:hint="eastAsia"/>
          <w:color w:val="000000" w:themeColor="text1"/>
          <w:sz w:val="24"/>
          <w:lang w:val="en-US" w:eastAsia="zh-CN"/>
          <w14:textFill>
            <w14:solidFill>
              <w14:schemeClr w14:val="tx1"/>
            </w14:solidFill>
          </w14:textFill>
        </w:rPr>
        <w:t>运输目的</w:t>
      </w:r>
      <w:r>
        <w:rPr>
          <w:rFonts w:hint="eastAsia" w:ascii="宋体" w:hAnsi="宋体" w:eastAsia="宋体" w:cs="宋体"/>
          <w:color w:val="000000" w:themeColor="text1"/>
          <w:kern w:val="2"/>
          <w:sz w:val="24"/>
          <w:szCs w:val="24"/>
          <w:lang w:val="en-US" w:eastAsia="zh-CN" w:bidi="zh-CN"/>
          <w14:textFill>
            <w14:solidFill>
              <w14:schemeClr w14:val="tx1"/>
            </w14:solidFill>
          </w14:textFill>
        </w:rPr>
        <w:t>地：达州市开江县（开梁高速跨越达万高速处）</w:t>
      </w:r>
    </w:p>
    <w:p>
      <w:pPr>
        <w:numPr>
          <w:ilvl w:val="0"/>
          <w:numId w:val="0"/>
        </w:numPr>
        <w:spacing w:line="360" w:lineRule="auto"/>
        <w:ind w:firstLine="480" w:firstLineChars="200"/>
        <w:rPr>
          <w:rFonts w:hint="default"/>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注：详细运输位置可与曾志辉联系。</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sz w:val="24"/>
        </w:rPr>
        <w:t>1</w:t>
      </w:r>
      <w:r>
        <w:rPr>
          <w:rFonts w:hint="eastAsia"/>
          <w:sz w:val="24"/>
        </w:rPr>
        <w:t>00万元，有</w:t>
      </w:r>
      <w:r>
        <w:rPr>
          <w:rFonts w:hint="eastAsia" w:ascii="宋体" w:hAnsi="宋体" w:cs="宋体"/>
          <w:sz w:val="24"/>
        </w:rPr>
        <w:t>道路运输经营许可证</w:t>
      </w:r>
      <w:r>
        <w:rPr>
          <w:rFonts w:hint="eastAsia"/>
          <w:sz w:val="24"/>
        </w:rPr>
        <w:t>；</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p>
    <w:p>
      <w:pPr>
        <w:spacing w:line="360" w:lineRule="auto"/>
        <w:rPr>
          <w:sz w:val="24"/>
        </w:rPr>
      </w:pPr>
      <w:r>
        <w:rPr>
          <w:rFonts w:hint="eastAsia"/>
          <w:sz w:val="24"/>
        </w:rPr>
        <w:t>2.2投标保证金的形式：银行转账，投标保证金必须通过投标人的基本帐户以银行转帐的方式缴纳</w:t>
      </w:r>
      <w:r>
        <w:rPr>
          <w:rFonts w:hint="eastAsia"/>
          <w:sz w:val="24"/>
          <w:lang w:eastAsia="zh-CN"/>
        </w:rPr>
        <w:t>（</w:t>
      </w:r>
      <w:r>
        <w:rPr>
          <w:rFonts w:hint="eastAsia"/>
          <w:sz w:val="24"/>
          <w:lang w:val="en-US" w:eastAsia="zh-CN"/>
        </w:rPr>
        <w:t>仅首次合作需缴纳</w:t>
      </w:r>
      <w:r>
        <w:rPr>
          <w:rFonts w:hint="eastAsia"/>
          <w:sz w:val="24"/>
          <w:lang w:eastAsia="zh-CN"/>
        </w:rPr>
        <w:t>）</w:t>
      </w:r>
      <w:r>
        <w:rPr>
          <w:rFonts w:hint="eastAsia"/>
          <w:sz w:val="24"/>
        </w:rPr>
        <w:t>。</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numPr>
          <w:ilvl w:val="0"/>
          <w:numId w:val="2"/>
        </w:numPr>
        <w:spacing w:line="360" w:lineRule="auto"/>
        <w:outlineLvl w:val="2"/>
        <w:rPr>
          <w:rFonts w:hint="eastAsia"/>
          <w:b/>
          <w:bCs/>
          <w:sz w:val="24"/>
        </w:rPr>
      </w:pPr>
      <w:r>
        <w:rPr>
          <w:rFonts w:hint="eastAsia"/>
          <w:b/>
          <w:bCs/>
          <w:sz w:val="24"/>
        </w:rPr>
        <w:t>其它</w:t>
      </w:r>
    </w:p>
    <w:p>
      <w:pPr>
        <w:pStyle w:val="2"/>
        <w:numPr>
          <w:ilvl w:val="0"/>
          <w:numId w:val="0"/>
        </w:numPr>
        <w:spacing w:line="360" w:lineRule="auto"/>
        <w:rPr>
          <w:rFonts w:hint="eastAsia" w:asciiTheme="minorHAnsi" w:hAnsiTheme="minorHAnsi" w:eastAsiaTheme="minorEastAsia" w:cstheme="minorBidi"/>
          <w:b/>
          <w:bCs/>
          <w:color w:val="FF0000"/>
          <w:kern w:val="2"/>
          <w:sz w:val="24"/>
          <w:szCs w:val="24"/>
          <w:lang w:val="en-US" w:eastAsia="zh-CN" w:bidi="ar-SA"/>
        </w:rPr>
      </w:pPr>
      <w:r>
        <w:rPr>
          <w:rFonts w:hint="eastAsia"/>
          <w:b/>
          <w:bCs/>
          <w:color w:val="FF0000"/>
          <w:sz w:val="24"/>
        </w:rPr>
        <w:t>3.1 </w:t>
      </w:r>
      <w:r>
        <w:rPr>
          <w:rFonts w:hint="eastAsia" w:asciiTheme="minorHAnsi" w:hAnsiTheme="minorHAnsi" w:eastAsiaTheme="minorEastAsia" w:cstheme="minorBidi"/>
          <w:b/>
          <w:bCs/>
          <w:color w:val="FF0000"/>
          <w:kern w:val="2"/>
          <w:sz w:val="24"/>
          <w:szCs w:val="24"/>
          <w:lang w:val="en-US" w:eastAsia="zh-CN" w:bidi="ar-SA"/>
        </w:rPr>
        <w:t>卸货位置在达万高速上，左右幅均需卸货。目前包茂高速部分路段处于病害整治阶段，投标人需自行勘查运输路线，确保钢梁能够顺利运输至桥位。</w:t>
      </w:r>
    </w:p>
    <w:p>
      <w:pPr>
        <w:spacing w:line="360" w:lineRule="auto"/>
        <w:rPr>
          <w:sz w:val="24"/>
        </w:rPr>
      </w:pPr>
      <w:r>
        <w:rPr>
          <w:rFonts w:hint="eastAsia"/>
          <w:sz w:val="24"/>
        </w:rPr>
        <w:t>3.</w:t>
      </w:r>
      <w:r>
        <w:rPr>
          <w:rFonts w:hint="eastAsia"/>
          <w:sz w:val="24"/>
          <w:lang w:val="en-US" w:eastAsia="zh-CN"/>
        </w:rPr>
        <w:t>2</w:t>
      </w:r>
      <w:r>
        <w:rPr>
          <w:rFonts w:hint="eastAsia"/>
          <w:sz w:val="24"/>
        </w:rPr>
        <w:t> 投标文件逾期送达的，招标人不予受理：</w:t>
      </w:r>
    </w:p>
    <w:p>
      <w:pPr>
        <w:spacing w:line="360" w:lineRule="auto"/>
        <w:rPr>
          <w:sz w:val="24"/>
        </w:rPr>
      </w:pPr>
      <w:r>
        <w:rPr>
          <w:rFonts w:hint="eastAsia"/>
          <w:sz w:val="24"/>
        </w:rPr>
        <w:t>3.</w:t>
      </w:r>
      <w:r>
        <w:rPr>
          <w:rFonts w:hint="eastAsia"/>
          <w:sz w:val="24"/>
          <w:lang w:val="en-US" w:eastAsia="zh-CN"/>
        </w:rPr>
        <w:t>3</w:t>
      </w:r>
      <w:r>
        <w:rPr>
          <w:rFonts w:hint="eastAsia"/>
          <w:sz w:val="24"/>
        </w:rPr>
        <w:t>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ascii="宋体" w:hAnsi="宋体" w:eastAsia="宋体" w:cs="宋体"/>
          <w:b/>
          <w:bCs/>
          <w:i w:val="0"/>
          <w:iCs w:val="0"/>
          <w:color w:val="000000"/>
          <w:kern w:val="0"/>
          <w:sz w:val="28"/>
          <w:szCs w:val="28"/>
          <w:u w:val="none"/>
          <w:lang w:val="en-US" w:eastAsia="zh-CN" w:bidi="ar"/>
        </w:rPr>
        <w:t>开梁项目</w:t>
      </w:r>
      <w:r>
        <w:rPr>
          <w:rFonts w:hint="eastAsia"/>
          <w:b/>
          <w:bCs/>
          <w:sz w:val="28"/>
          <w:szCs w:val="28"/>
        </w:rPr>
        <w:t>报价清单</w:t>
      </w:r>
    </w:p>
    <w:tbl>
      <w:tblPr>
        <w:tblStyle w:val="15"/>
        <w:tblW w:w="5000" w:type="pct"/>
        <w:tblInd w:w="0" w:type="dxa"/>
        <w:tblLayout w:type="fixed"/>
        <w:tblCellMar>
          <w:top w:w="0" w:type="dxa"/>
          <w:left w:w="108" w:type="dxa"/>
          <w:bottom w:w="0" w:type="dxa"/>
          <w:right w:w="108" w:type="dxa"/>
        </w:tblCellMar>
      </w:tblPr>
      <w:tblGrid>
        <w:gridCol w:w="825"/>
        <w:gridCol w:w="4476"/>
        <w:gridCol w:w="2011"/>
        <w:gridCol w:w="1284"/>
        <w:gridCol w:w="1824"/>
      </w:tblGrid>
      <w:tr>
        <w:tblPrEx>
          <w:tblCellMar>
            <w:top w:w="0" w:type="dxa"/>
            <w:left w:w="108" w:type="dxa"/>
            <w:bottom w:w="0" w:type="dxa"/>
            <w:right w:w="108" w:type="dxa"/>
          </w:tblCellMar>
        </w:tblPrEx>
        <w:trPr>
          <w:trHeight w:val="859"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开梁项目钢梁运输询价单</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一、询价单位:四川兴天元钢桥有限公司</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二、项目名称：开梁高速钢箱梁项目 </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三、构件清单明细表（见附件）（约1930吨）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1、全桥吨单价报价：</w:t>
            </w:r>
            <w:r>
              <w:rPr>
                <w:rStyle w:val="29"/>
                <w:lang w:val="en-US" w:eastAsia="zh-CN" w:bidi="ar"/>
              </w:rPr>
              <w:t xml:space="preserve">        </w:t>
            </w:r>
            <w:r>
              <w:rPr>
                <w:rFonts w:hint="eastAsia" w:ascii="宋体" w:hAnsi="宋体" w:eastAsia="宋体" w:cs="宋体"/>
                <w:b/>
                <w:bCs/>
                <w:i w:val="0"/>
                <w:iCs w:val="0"/>
                <w:color w:val="000000"/>
                <w:kern w:val="0"/>
                <w:sz w:val="28"/>
                <w:szCs w:val="28"/>
                <w:u w:val="none"/>
                <w:lang w:val="en-US" w:eastAsia="zh-CN" w:bidi="ar"/>
              </w:rPr>
              <w:t>元/吨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2、支架运输车型单车报价：</w:t>
            </w:r>
          </w:p>
        </w:tc>
      </w:tr>
      <w:tr>
        <w:tblPrEx>
          <w:tblCellMar>
            <w:top w:w="0" w:type="dxa"/>
            <w:left w:w="108" w:type="dxa"/>
            <w:bottom w:w="0" w:type="dxa"/>
            <w:right w:w="108" w:type="dxa"/>
          </w:tblCellMar>
        </w:tblPrEx>
        <w:trPr>
          <w:trHeight w:val="660"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4.2米货车：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9.6米货车：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42"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6.8米货车：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13米拖挂货车：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38"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17.5米拖挂货车：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90" w:hRule="atLeast"/>
        </w:trPr>
        <w:tc>
          <w:tcPr>
            <w:tcW w:w="825"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keepNext w:val="0"/>
              <w:keepLines w:val="0"/>
              <w:widowControl/>
              <w:suppressLineNumbers w:val="0"/>
              <w:jc w:val="center"/>
              <w:textAlignment w:val="center"/>
              <w:rPr>
                <w:rFonts w:ascii="宋体" w:hAnsi="宋体" w:eastAsia="宋体" w:cs="宋体"/>
                <w:b/>
                <w:bCs/>
                <w:color w:val="000000"/>
                <w:kern w:val="0"/>
                <w:sz w:val="24"/>
              </w:rPr>
            </w:pPr>
            <w:r>
              <w:rPr>
                <w:rFonts w:hint="eastAsia" w:ascii="宋体" w:hAnsi="宋体" w:eastAsia="宋体" w:cs="宋体"/>
                <w:b/>
                <w:bCs/>
                <w:i w:val="0"/>
                <w:iCs w:val="0"/>
                <w:color w:val="000000"/>
                <w:kern w:val="0"/>
                <w:sz w:val="24"/>
                <w:szCs w:val="24"/>
                <w:u w:val="none"/>
                <w:lang w:val="en-US" w:eastAsia="zh-CN" w:bidi="ar"/>
              </w:rPr>
              <w:t>说明</w:t>
            </w:r>
          </w:p>
        </w:tc>
        <w:tc>
          <w:tcPr>
            <w:tcW w:w="6487"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1）货物运输起止点  </w:t>
            </w:r>
            <w:r>
              <w:rPr>
                <w:rFonts w:hint="eastAsia" w:ascii="宋体" w:hAnsi="宋体" w:eastAsia="宋体" w:cs="宋体"/>
                <w:b/>
                <w:bCs/>
                <w:i w:val="0"/>
                <w:iCs w:val="0"/>
                <w:color w:val="000000"/>
                <w:kern w:val="0"/>
                <w:sz w:val="22"/>
                <w:szCs w:val="22"/>
                <w:u w:val="single"/>
                <w:lang w:val="en-US" w:eastAsia="zh-CN" w:bidi="ar"/>
              </w:rPr>
              <w:t>起点：兴天元厂区内  终点：达州市开江县开梁高速项目工地</w:t>
            </w:r>
            <w:r>
              <w:rPr>
                <w:rStyle w:val="30"/>
                <w:rFonts w:ascii="宋体" w:hAnsi="宋体" w:eastAsia="宋体" w:cs="宋体"/>
                <w:sz w:val="24"/>
                <w:szCs w:val="24"/>
                <w:lang w:val="en-US" w:eastAsia="zh-CN" w:bidi="ar"/>
              </w:rPr>
              <w:t>，全程</w:t>
            </w:r>
            <w:r>
              <w:rPr>
                <w:rFonts w:hint="eastAsia" w:ascii="宋体" w:hAnsi="宋体" w:eastAsia="宋体" w:cs="宋体"/>
                <w:b/>
                <w:bCs/>
                <w:i w:val="0"/>
                <w:iCs w:val="0"/>
                <w:color w:val="000000"/>
                <w:kern w:val="0"/>
                <w:sz w:val="22"/>
                <w:szCs w:val="22"/>
                <w:u w:val="single"/>
                <w:lang w:val="en-US" w:eastAsia="zh-CN" w:bidi="ar"/>
              </w:rPr>
              <w:t>约550KM</w:t>
            </w:r>
            <w:r>
              <w:rPr>
                <w:rFonts w:hint="eastAsia" w:ascii="宋体" w:hAnsi="宋体" w:eastAsia="宋体" w:cs="宋体"/>
                <w:i w:val="0"/>
                <w:iCs w:val="0"/>
                <w:color w:val="000000"/>
                <w:kern w:val="0"/>
                <w:sz w:val="22"/>
                <w:szCs w:val="22"/>
                <w:u w:val="none"/>
                <w:lang w:val="en-US" w:eastAsia="zh-CN" w:bidi="ar"/>
              </w:rPr>
              <w:t>，。运输车型和运输路线由报价单位单独编写运输方案作为报价附件</w:t>
            </w:r>
          </w:p>
        </w:tc>
        <w:tc>
          <w:tcPr>
            <w:tcW w:w="310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top"/>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报价单位盖章：</w:t>
            </w:r>
          </w:p>
        </w:tc>
      </w:tr>
      <w:tr>
        <w:tblPrEx>
          <w:tblCellMar>
            <w:top w:w="0" w:type="dxa"/>
            <w:left w:w="108" w:type="dxa"/>
            <w:bottom w:w="0" w:type="dxa"/>
            <w:right w:w="108" w:type="dxa"/>
          </w:tblCellMar>
        </w:tblPrEx>
        <w:trPr>
          <w:trHeight w:val="82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2）报价方需根据询价方的发运需求准时调配足够数量的车辆满足运输任务；</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51"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3）以上报价包含：9%增值税、运输途中涉及交通管理部门、高速收费站的协调费、运输相关措施费、人员及设备保险费等费用。下方配套表中第六节段（标红部分）按照挑臂单独运输方式报价。</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4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4）报价方全权负责运输途中的人员和构件安全；</w:t>
            </w:r>
          </w:p>
        </w:tc>
        <w:tc>
          <w:tcPr>
            <w:tcW w:w="3108" w:type="dxa"/>
            <w:gridSpan w:val="2"/>
            <w:vMerge w:val="continue"/>
            <w:tcBorders>
              <w:top w:val="nil"/>
              <w:left w:val="nil"/>
              <w:bottom w:val="single" w:color="auto" w:sz="4" w:space="0"/>
              <w:right w:val="single" w:color="auto" w:sz="4" w:space="0"/>
            </w:tcBorders>
            <w:shd w:val="clear" w:color="auto" w:fill="auto"/>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24"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5）计划运输时间段： 2023年9月--2023年10月（具体发运顺序根据现场吊装顺序进行安排）；    </w:t>
            </w:r>
          </w:p>
        </w:tc>
        <w:tc>
          <w:tcPr>
            <w:tcW w:w="12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报价人：</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28"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6）报价表递交时间：</w:t>
            </w:r>
            <w:r>
              <w:rPr>
                <w:rFonts w:hint="eastAsia" w:ascii="宋体" w:hAnsi="宋体" w:eastAsia="宋体" w:cs="宋体"/>
                <w:i w:val="0"/>
                <w:iCs w:val="0"/>
                <w:color w:val="FF0000"/>
                <w:kern w:val="0"/>
                <w:sz w:val="22"/>
                <w:szCs w:val="22"/>
                <w:u w:val="none"/>
                <w:lang w:val="en-US" w:eastAsia="zh-CN" w:bidi="ar"/>
              </w:rPr>
              <w:t>2023年8月24日前</w:t>
            </w:r>
            <w:r>
              <w:rPr>
                <w:rFonts w:hint="eastAsia" w:ascii="宋体" w:hAnsi="宋体" w:eastAsia="宋体" w:cs="宋体"/>
                <w:i w:val="0"/>
                <w:iCs w:val="0"/>
                <w:color w:val="000000"/>
                <w:kern w:val="0"/>
                <w:sz w:val="22"/>
                <w:szCs w:val="22"/>
                <w:u w:val="none"/>
                <w:lang w:val="en-US" w:eastAsia="zh-CN" w:bidi="ar"/>
              </w:rPr>
              <w:t>；</w:t>
            </w:r>
          </w:p>
        </w:tc>
        <w:tc>
          <w:tcPr>
            <w:tcW w:w="12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报价日期：</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bl>
    <w:p>
      <w:pPr>
        <w:pStyle w:val="9"/>
        <w:rPr>
          <w:lang w:val="en-US" w:bidi="ar-SA"/>
        </w:rPr>
      </w:pPr>
    </w:p>
    <w:p>
      <w:pPr>
        <w:widowControl/>
        <w:numPr>
          <w:ilvl w:val="0"/>
          <w:numId w:val="0"/>
        </w:numPr>
        <w:jc w:val="left"/>
      </w:pPr>
      <w:r>
        <w:br w:type="page"/>
      </w:r>
    </w:p>
    <w:p>
      <w:pPr>
        <w:widowControl/>
        <w:numPr>
          <w:ilvl w:val="0"/>
          <w:numId w:val="0"/>
        </w:numPr>
        <w:jc w:val="left"/>
        <w:rPr>
          <w:rFonts w:hint="eastAsia"/>
          <w:lang w:val="en-US" w:eastAsia="zh-CN"/>
        </w:rPr>
      </w:pPr>
      <w:r>
        <w:rPr>
          <w:rFonts w:hint="eastAsia"/>
          <w:b/>
          <w:bCs/>
          <w:sz w:val="28"/>
          <w:szCs w:val="28"/>
          <w:lang w:val="en-US" w:eastAsia="zh-CN"/>
        </w:rPr>
        <w:t xml:space="preserve">第四部分 </w:t>
      </w:r>
      <w:r>
        <w:rPr>
          <w:rFonts w:hint="eastAsia" w:ascii="宋体" w:hAnsi="宋体" w:eastAsia="宋体" w:cs="宋体"/>
          <w:b/>
          <w:bCs/>
          <w:i w:val="0"/>
          <w:iCs w:val="0"/>
          <w:color w:val="000000"/>
          <w:kern w:val="0"/>
          <w:sz w:val="28"/>
          <w:szCs w:val="28"/>
          <w:u w:val="none"/>
          <w:lang w:val="en-US" w:eastAsia="zh-CN" w:bidi="ar"/>
        </w:rPr>
        <w:t>开梁项目</w:t>
      </w:r>
      <w:r>
        <w:rPr>
          <w:rFonts w:hint="eastAsia"/>
          <w:b/>
          <w:bCs/>
          <w:sz w:val="28"/>
          <w:szCs w:val="28"/>
          <w:lang w:val="en-US" w:eastAsia="zh-CN"/>
        </w:rPr>
        <w:t>钢梁清单配套表</w:t>
      </w:r>
    </w:p>
    <w:tbl>
      <w:tblPr>
        <w:tblW w:w="101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25"/>
        <w:gridCol w:w="1262"/>
        <w:gridCol w:w="1394"/>
        <w:gridCol w:w="2536"/>
        <w:gridCol w:w="764"/>
        <w:gridCol w:w="1291"/>
        <w:gridCol w:w="1423"/>
        <w:gridCol w:w="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0156" w:type="dxa"/>
            <w:gridSpan w:val="8"/>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开梁运输重量表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3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节段编号</w:t>
            </w:r>
          </w:p>
        </w:tc>
        <w:tc>
          <w:tcPr>
            <w:tcW w:w="13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块体编号</w:t>
            </w:r>
          </w:p>
        </w:tc>
        <w:tc>
          <w:tcPr>
            <w:tcW w:w="23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规格</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(高×宽×长)（mm）</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重量（kg）</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部位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单件重量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总重</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vMerge w:val="restar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KLZ-L1</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L1A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3000×3500×11789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26059.8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26059.8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左幅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0" w:type="auto"/>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L1C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3000×3000×11811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25287.3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25287.3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左幅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0" w:type="auto"/>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L1E</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3000×3500×26965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61946.9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61946.9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左幅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0" w:type="auto"/>
            <w:vMerge w:val="restar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KLZ-L2</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L2A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3000×3500×24952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59251.2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59251.2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左幅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0" w:type="auto"/>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L2C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3000×3000×19903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46507.1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46507.1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左幅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0" w:type="auto"/>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L2E</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3000×3500×21125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50658.5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50658.5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左幅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KLZ-L3</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L3A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3000×3500×23131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52475.1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52475.1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左幅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L3C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3000×3000×27975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62892.3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62892.3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左幅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L3E</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3000×3500×11840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25985.0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25985.0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左幅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KLY-L1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L1A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3000×3500×11846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27628.6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27628.6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右幅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L1C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3000×3000×11879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27373.2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27373.2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右幅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L1E</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3000×3500×24631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57879.0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57879.0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右幅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KLY-L2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L2A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3000×3500×23752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52629.3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52629.3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右幅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L2C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3000×3000×19025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45509.4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45509.4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右幅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L2E</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3000×3500×24012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55339.9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55339.9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右幅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KLY-L3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L3A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3000×3500×24347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55945.1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55945.1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右幅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L3C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3000×3000×17418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41136.2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41136.2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右幅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L3E</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3000×3500×12019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27311.3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27311.3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右幅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KLY-L4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L4C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3000×3000×11915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27793.9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27793.9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右幅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KLC-L1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L1A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2400×3500×19010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36416.5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36416.5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L1C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2400×3500×20137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38153.5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38153.5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KLC-L2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L2A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2400×3500×20948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46263.2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46263.2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L2C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2400×3500×22188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48549.4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48549.4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KLC-L3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L3A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2400×3500×23365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45735.0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45735.0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L3C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2400×3500×18162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35456.2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35456.2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KLC-L4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L4A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2400×3500×25816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56133.2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56133.2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L4C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2400×3500×20874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40195.3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40195.3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KLC-L5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L5A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2400×3500×9852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19332.5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19332.5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L5C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2400×3500×23472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51475.6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51475.6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KLC-L6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L6A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2400×3500×19041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36468.8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36468.8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L6C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2400×3500×20173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38201.0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38201.0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KLD-L1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L1A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2000×3500×21304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34429.7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34429.7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L1C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2000×3500×23316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36184.1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36184.1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KLD-L2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L2A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2000×3500×23808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42850.7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42850.7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L2C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2000×3500×20887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36561.3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36561.3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KLD-L3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L3A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2000×3500×24991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44917.0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44917.0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L3C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2000×3500×19595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31190.6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31190.6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KLD-L4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L4A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2000×3500×21287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34408.5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34408.5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L4C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2000×3500×13111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24065.1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24065.1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KLD-L5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L5C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2000×3500×23286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36123.1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36123.1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普通横联</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250×2279×2836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15311.3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左幅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次横联</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250×462×2895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5608.6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左幅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支座横联</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1791×2280×2923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17704.9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左幅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盖板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138×2231×2894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18640.4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左幅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连接板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11289.1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左幅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普通横联</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250×2279×3726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17759.9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右幅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次横联</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250×462×3763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6877.4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右幅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支座横联</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1795×2280×3799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25818.4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右幅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盖板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138×2251×3760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30338.6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右幅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连接板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12217.3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右幅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普通横联</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250×1680×3500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18684.7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次横联</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250×462×3500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7661.7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支座横联</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360×1510×3500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3587.2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盖板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138×2270×3488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31059.7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连接板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12396.9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挡块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410×697×730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1024.6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普通横联</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250×1400×3500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12386.6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次横联</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250×362×3500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5385.8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支座横联</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360×1230×3500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 xml:space="preserve">3587.2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盖板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138×2270×3488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19846.1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连接板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8306.0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挡块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410×697×730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1024.6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D匝道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1929236.3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bl>
    <w:p>
      <w:pPr>
        <w:pStyle w:val="9"/>
        <w:rPr>
          <w:rFonts w:hint="eastAsia"/>
          <w:lang w:val="en-US" w:eastAsia="zh-CN"/>
        </w:rPr>
      </w:pPr>
    </w:p>
    <w:p>
      <w:pPr>
        <w:pStyle w:val="9"/>
        <w:rPr>
          <w:rFonts w:hint="eastAsia"/>
          <w:lang w:val="en-US" w:eastAsia="zh-CN"/>
        </w:rPr>
      </w:pPr>
    </w:p>
    <w:p>
      <w:pPr>
        <w:spacing w:before="120" w:beforeLines="50" w:line="200" w:lineRule="atLeast"/>
        <w:jc w:val="left"/>
        <w:outlineLvl w:val="0"/>
        <w:rPr>
          <w:rFonts w:hint="eastAsia"/>
          <w:b/>
          <w:bCs/>
          <w:sz w:val="28"/>
          <w:szCs w:val="28"/>
        </w:rPr>
      </w:pPr>
      <w:bookmarkStart w:id="0" w:name="_GoBack"/>
      <w:bookmarkEnd w:id="0"/>
    </w:p>
    <w:p>
      <w:pPr>
        <w:pStyle w:val="9"/>
        <w:rPr>
          <w:rFonts w:hint="eastAsia"/>
          <w:lang w:val="en-US" w:eastAsia="zh-CN"/>
        </w:rPr>
      </w:pPr>
    </w:p>
    <w:sectPr>
      <w:headerReference r:id="rId4" w:type="default"/>
      <w:footerReference r:id="rId5" w:type="default"/>
      <w:footerReference r:id="rId6" w:type="even"/>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8"/>
      </w:rPr>
    </w:pPr>
    <w:r>
      <w:fldChar w:fldCharType="begin"/>
    </w:r>
    <w:r>
      <w:rPr>
        <w:rStyle w:val="18"/>
      </w:rPr>
      <w:instrText xml:space="preserve">PAGE  </w:instrText>
    </w:r>
    <w:r>
      <w:fldChar w:fldCharType="separate"/>
    </w:r>
    <w:r>
      <w:rPr>
        <w:rStyle w:val="18"/>
      </w:rPr>
      <w:t>3</w:t>
    </w:r>
    <w: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D9A57819"/>
    <w:multiLevelType w:val="singleLevel"/>
    <w:tmpl w:val="D9A57819"/>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ODllOTc0MTFhZjIwMDJmOWRhMjM0YWVlODIwNWQifQ=="/>
  </w:docVars>
  <w:rsids>
    <w:rsidRoot w:val="6366186B"/>
    <w:rsid w:val="0003667E"/>
    <w:rsid w:val="00060F41"/>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9477246"/>
    <w:rsid w:val="0BF04F64"/>
    <w:rsid w:val="0D074A6C"/>
    <w:rsid w:val="102C4895"/>
    <w:rsid w:val="199D3F96"/>
    <w:rsid w:val="1A39185D"/>
    <w:rsid w:val="1F07713E"/>
    <w:rsid w:val="1F7F1DD4"/>
    <w:rsid w:val="1FC76D7C"/>
    <w:rsid w:val="23BA2F97"/>
    <w:rsid w:val="28167080"/>
    <w:rsid w:val="294E0FE3"/>
    <w:rsid w:val="2A08297F"/>
    <w:rsid w:val="2DE62848"/>
    <w:rsid w:val="2E7F6E67"/>
    <w:rsid w:val="2EA756E3"/>
    <w:rsid w:val="307D48E1"/>
    <w:rsid w:val="32C23872"/>
    <w:rsid w:val="34A018E6"/>
    <w:rsid w:val="374213A4"/>
    <w:rsid w:val="3B3F32FE"/>
    <w:rsid w:val="3C0D345A"/>
    <w:rsid w:val="3C0F44E4"/>
    <w:rsid w:val="3CC973F4"/>
    <w:rsid w:val="3D3709FF"/>
    <w:rsid w:val="3DA81C44"/>
    <w:rsid w:val="3DFB4929"/>
    <w:rsid w:val="4002452C"/>
    <w:rsid w:val="40465046"/>
    <w:rsid w:val="433A3292"/>
    <w:rsid w:val="434E21B6"/>
    <w:rsid w:val="43B167AA"/>
    <w:rsid w:val="45AB028E"/>
    <w:rsid w:val="45B8114E"/>
    <w:rsid w:val="45FD1795"/>
    <w:rsid w:val="4701013C"/>
    <w:rsid w:val="483D156B"/>
    <w:rsid w:val="48F5691C"/>
    <w:rsid w:val="49904129"/>
    <w:rsid w:val="4AA97B9F"/>
    <w:rsid w:val="4BB74B68"/>
    <w:rsid w:val="4D1F19DC"/>
    <w:rsid w:val="4D536AC0"/>
    <w:rsid w:val="4DCD3324"/>
    <w:rsid w:val="4EE342EE"/>
    <w:rsid w:val="5327085B"/>
    <w:rsid w:val="56EC4242"/>
    <w:rsid w:val="588E0972"/>
    <w:rsid w:val="5A500518"/>
    <w:rsid w:val="5A767B16"/>
    <w:rsid w:val="5ACC43F0"/>
    <w:rsid w:val="5B3240FE"/>
    <w:rsid w:val="5D592468"/>
    <w:rsid w:val="5D942CDE"/>
    <w:rsid w:val="5F03343C"/>
    <w:rsid w:val="60B41562"/>
    <w:rsid w:val="61363955"/>
    <w:rsid w:val="62DB68C0"/>
    <w:rsid w:val="636360E0"/>
    <w:rsid w:val="6366186B"/>
    <w:rsid w:val="63E944D3"/>
    <w:rsid w:val="64F56445"/>
    <w:rsid w:val="68951443"/>
    <w:rsid w:val="69206384"/>
    <w:rsid w:val="6AEB3AC8"/>
    <w:rsid w:val="6CFB7DD2"/>
    <w:rsid w:val="6F460571"/>
    <w:rsid w:val="71807EB6"/>
    <w:rsid w:val="72BB575D"/>
    <w:rsid w:val="7525529E"/>
    <w:rsid w:val="759B70D5"/>
    <w:rsid w:val="76FA7678"/>
    <w:rsid w:val="772E0EFE"/>
    <w:rsid w:val="79342A79"/>
    <w:rsid w:val="7D62663A"/>
    <w:rsid w:val="7EC96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6">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spacing w:before="120" w:after="120"/>
      <w:ind w:firstLine="420" w:firstLineChars="200"/>
      <w:jc w:val="left"/>
    </w:pPr>
    <w:rPr>
      <w:rFonts w:ascii="Calibri" w:hAnsi="Calibri"/>
      <w:kern w:val="0"/>
      <w:lang w:eastAsia="en-US" w:bidi="en-US"/>
    </w:rPr>
  </w:style>
  <w:style w:type="paragraph" w:styleId="3">
    <w:name w:val="Body Text First Indent 2"/>
    <w:basedOn w:val="1"/>
    <w:next w:val="1"/>
    <w:unhideWhenUsed/>
    <w:qFormat/>
    <w:uiPriority w:val="99"/>
    <w:pPr>
      <w:ind w:firstLine="420"/>
    </w:pPr>
  </w:style>
  <w:style w:type="paragraph" w:styleId="7">
    <w:name w:val="annotation text"/>
    <w:basedOn w:val="1"/>
    <w:link w:val="27"/>
    <w:qFormat/>
    <w:uiPriority w:val="0"/>
    <w:pPr>
      <w:jc w:val="left"/>
    </w:pPr>
  </w:style>
  <w:style w:type="paragraph" w:styleId="8">
    <w:name w:val="Body Text 3"/>
    <w:basedOn w:val="1"/>
    <w:qFormat/>
    <w:uiPriority w:val="0"/>
    <w:rPr>
      <w:rFonts w:ascii="宋体" w:cs="Times New Roman"/>
      <w:sz w:val="24"/>
      <w:szCs w:val="20"/>
      <w:lang w:val="zh-CN"/>
    </w:rPr>
  </w:style>
  <w:style w:type="paragraph" w:styleId="9">
    <w:name w:val="Body Text"/>
    <w:basedOn w:val="1"/>
    <w:unhideWhenUsed/>
    <w:qFormat/>
    <w:uiPriority w:val="99"/>
    <w:rPr>
      <w:rFonts w:ascii="宋体" w:hAnsi="宋体" w:eastAsia="宋体" w:cs="宋体"/>
      <w:lang w:val="zh-CN" w:bidi="zh-CN"/>
    </w:rPr>
  </w:style>
  <w:style w:type="paragraph" w:styleId="10">
    <w:name w:val="Body Text Indent"/>
    <w:basedOn w:val="1"/>
    <w:qFormat/>
    <w:uiPriority w:val="0"/>
    <w:pPr>
      <w:ind w:left="420" w:leftChars="2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7"/>
    <w:next w:val="7"/>
    <w:link w:val="28"/>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qFormat/>
    <w:uiPriority w:val="0"/>
    <w:rPr>
      <w:color w:val="0000FF"/>
      <w:u w:val="single"/>
    </w:rPr>
  </w:style>
  <w:style w:type="character" w:styleId="20">
    <w:name w:val="annotation reference"/>
    <w:basedOn w:val="17"/>
    <w:qFormat/>
    <w:uiPriority w:val="0"/>
    <w:rPr>
      <w:sz w:val="21"/>
      <w:szCs w:val="21"/>
    </w:rPr>
  </w:style>
  <w:style w:type="character" w:customStyle="1" w:styleId="21">
    <w:name w:val="font21"/>
    <w:basedOn w:val="17"/>
    <w:qFormat/>
    <w:uiPriority w:val="0"/>
    <w:rPr>
      <w:rFonts w:hint="default" w:ascii="Times New Roman" w:hAnsi="Times New Roman" w:cs="Times New Roman"/>
      <w:color w:val="000000"/>
      <w:sz w:val="16"/>
      <w:szCs w:val="16"/>
      <w:u w:val="none"/>
    </w:rPr>
  </w:style>
  <w:style w:type="character" w:customStyle="1" w:styleId="22">
    <w:name w:val="font11"/>
    <w:basedOn w:val="17"/>
    <w:qFormat/>
    <w:uiPriority w:val="0"/>
    <w:rPr>
      <w:rFonts w:hint="eastAsia" w:ascii="宋体" w:hAnsi="宋体" w:eastAsia="宋体" w:cs="宋体"/>
      <w:color w:val="000000"/>
      <w:sz w:val="16"/>
      <w:szCs w:val="16"/>
      <w:u w:val="none"/>
    </w:rPr>
  </w:style>
  <w:style w:type="character" w:customStyle="1" w:styleId="23">
    <w:name w:val="font31"/>
    <w:basedOn w:val="17"/>
    <w:qFormat/>
    <w:uiPriority w:val="0"/>
    <w:rPr>
      <w:rFonts w:hint="eastAsia" w:ascii="宋体" w:hAnsi="宋体" w:eastAsia="宋体" w:cs="宋体"/>
      <w:color w:val="000000"/>
      <w:sz w:val="18"/>
      <w:szCs w:val="18"/>
      <w:u w:val="single"/>
    </w:rPr>
  </w:style>
  <w:style w:type="character" w:customStyle="1" w:styleId="24">
    <w:name w:val="font91"/>
    <w:basedOn w:val="17"/>
    <w:qFormat/>
    <w:uiPriority w:val="0"/>
    <w:rPr>
      <w:rFonts w:hint="default" w:ascii="Times New Roman" w:hAnsi="Times New Roman" w:cs="Times New Roman"/>
      <w:color w:val="000000"/>
      <w:sz w:val="18"/>
      <w:szCs w:val="18"/>
      <w:u w:val="single"/>
    </w:rPr>
  </w:style>
  <w:style w:type="character" w:customStyle="1" w:styleId="25">
    <w:name w:val="font101"/>
    <w:basedOn w:val="17"/>
    <w:qFormat/>
    <w:uiPriority w:val="0"/>
    <w:rPr>
      <w:rFonts w:hint="eastAsia" w:ascii="宋体" w:hAnsi="宋体" w:eastAsia="宋体" w:cs="宋体"/>
      <w:color w:val="000000"/>
      <w:sz w:val="19"/>
      <w:szCs w:val="19"/>
      <w:u w:val="none"/>
    </w:rPr>
  </w:style>
  <w:style w:type="paragraph" w:customStyle="1" w:styleId="26">
    <w:name w:val="正文 含缩进"/>
    <w:basedOn w:val="1"/>
    <w:qFormat/>
    <w:uiPriority w:val="0"/>
    <w:pPr>
      <w:ind w:firstLine="424" w:firstLineChars="202"/>
      <w:jc w:val="left"/>
    </w:pPr>
  </w:style>
  <w:style w:type="character" w:customStyle="1" w:styleId="27">
    <w:name w:val="批注文字 字符"/>
    <w:basedOn w:val="17"/>
    <w:link w:val="7"/>
    <w:qFormat/>
    <w:uiPriority w:val="0"/>
    <w:rPr>
      <w:rFonts w:asciiTheme="minorHAnsi" w:hAnsiTheme="minorHAnsi" w:eastAsiaTheme="minorEastAsia" w:cstheme="minorBidi"/>
      <w:kern w:val="2"/>
      <w:sz w:val="21"/>
      <w:szCs w:val="24"/>
    </w:rPr>
  </w:style>
  <w:style w:type="character" w:customStyle="1" w:styleId="28">
    <w:name w:val="批注主题 字符"/>
    <w:basedOn w:val="27"/>
    <w:link w:val="14"/>
    <w:qFormat/>
    <w:uiPriority w:val="0"/>
    <w:rPr>
      <w:rFonts w:asciiTheme="minorHAnsi" w:hAnsiTheme="minorHAnsi" w:eastAsiaTheme="minorEastAsia" w:cstheme="minorBidi"/>
      <w:b/>
      <w:bCs/>
      <w:kern w:val="2"/>
      <w:sz w:val="21"/>
      <w:szCs w:val="24"/>
    </w:rPr>
  </w:style>
  <w:style w:type="character" w:customStyle="1" w:styleId="29">
    <w:name w:val="font81"/>
    <w:basedOn w:val="17"/>
    <w:qFormat/>
    <w:uiPriority w:val="0"/>
    <w:rPr>
      <w:rFonts w:hint="eastAsia" w:ascii="宋体" w:hAnsi="宋体" w:eastAsia="宋体" w:cs="宋体"/>
      <w:b/>
      <w:bCs/>
      <w:color w:val="000000"/>
      <w:sz w:val="28"/>
      <w:szCs w:val="28"/>
      <w:u w:val="single"/>
    </w:rPr>
  </w:style>
  <w:style w:type="character" w:customStyle="1" w:styleId="30">
    <w:name w:val="font112"/>
    <w:basedOn w:val="1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3531</Words>
  <Characters>5556</Characters>
  <Lines>46</Lines>
  <Paragraphs>13</Paragraphs>
  <TotalTime>16</TotalTime>
  <ScaleCrop>false</ScaleCrop>
  <LinksUpToDate>false</LinksUpToDate>
  <CharactersWithSpaces>5881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邓小刚</cp:lastModifiedBy>
  <dcterms:modified xsi:type="dcterms:W3CDTF">2023-08-18T03:07:40Z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1D086A7CCC3641CB8D5A31EB76D3428F_13</vt:lpwstr>
  </property>
</Properties>
</file>