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宁南服务区B匝道钢箱梁吊装服务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招（议）标编号</w:t>
      </w:r>
      <w:r>
        <w:rPr>
          <w:rFonts w:hint="eastAsia" w:ascii="黑体" w:hAnsi="黑体" w:eastAsia="黑体"/>
          <w:color w:val="auto"/>
          <w:sz w:val="32"/>
          <w:szCs w:val="32"/>
        </w:rPr>
        <w:t>： CG-XTY-202</w:t>
      </w:r>
      <w:r>
        <w:rPr>
          <w:rFonts w:hint="eastAsia" w:ascii="黑体" w:hAnsi="黑体" w:eastAsia="黑体"/>
          <w:color w:val="auto"/>
          <w:sz w:val="32"/>
          <w:szCs w:val="32"/>
          <w:lang w:val="en-US" w:eastAsia="zh-CN"/>
        </w:rPr>
        <w:t>30802</w:t>
      </w:r>
    </w:p>
    <w:p>
      <w:pPr>
        <w:rPr>
          <w:color w:val="auto"/>
        </w:rPr>
      </w:pPr>
    </w:p>
    <w:p>
      <w:pPr>
        <w:rPr>
          <w:color w:val="auto"/>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rPr>
          <w:color w:val="auto"/>
        </w:rPr>
      </w:pPr>
    </w:p>
    <w:p>
      <w:pPr>
        <w:rPr>
          <w:color w:val="auto"/>
        </w:rPr>
      </w:pPr>
    </w:p>
    <w:p>
      <w:pPr>
        <w:rPr>
          <w:color w:val="auto"/>
        </w:rPr>
      </w:pPr>
    </w:p>
    <w:p>
      <w:pPr>
        <w:pStyle w:val="7"/>
        <w:jc w:val="center"/>
        <w:rPr>
          <w:rFonts w:ascii="黑体" w:hAnsi="黑体" w:eastAsia="黑体"/>
          <w:color w:val="auto"/>
          <w:sz w:val="32"/>
          <w:szCs w:val="32"/>
        </w:rPr>
      </w:pPr>
      <w:r>
        <w:rPr>
          <w:rFonts w:hint="eastAsia" w:ascii="黑体" w:hAnsi="黑体" w:eastAsia="黑体"/>
          <w:color w:val="auto"/>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08</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02</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宁南服务区B匝道项目吊装服务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月（具体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bookmarkStart w:id="0" w:name="_GoBack"/>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8</w:t>
      </w:r>
      <w:r>
        <w:rPr>
          <w:rFonts w:hint="eastAsia"/>
          <w:color w:val="auto"/>
          <w:sz w:val="24"/>
        </w:rPr>
        <w:t>月</w:t>
      </w:r>
      <w:r>
        <w:rPr>
          <w:rFonts w:hint="eastAsia"/>
          <w:color w:val="auto"/>
          <w:sz w:val="24"/>
          <w:lang w:val="en-US" w:eastAsia="zh-CN"/>
        </w:rPr>
        <w:t>10</w:t>
      </w:r>
      <w:r>
        <w:rPr>
          <w:rFonts w:hint="eastAsia"/>
          <w:color w:val="auto"/>
          <w:sz w:val="24"/>
        </w:rPr>
        <w:t>日上午</w:t>
      </w:r>
      <w:r>
        <w:rPr>
          <w:color w:val="auto"/>
          <w:sz w:val="24"/>
        </w:rPr>
        <w:t>9</w:t>
      </w:r>
      <w:r>
        <w:rPr>
          <w:rFonts w:hint="eastAsia"/>
          <w:color w:val="auto"/>
          <w:sz w:val="24"/>
        </w:rPr>
        <w:t>:00，</w:t>
      </w:r>
      <w:bookmarkEnd w:id="0"/>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王成浩</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15282891998</w:t>
      </w:r>
    </w:p>
    <w:p>
      <w:pPr>
        <w:pStyle w:val="2"/>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凉山州宁南县竹寿镇二台坡</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宁南服务区B匝道项目施工现场（位于</w:t>
            </w:r>
            <w:r>
              <w:rPr>
                <w:rFonts w:hint="eastAsia"/>
                <w:color w:val="auto"/>
                <w:sz w:val="24"/>
                <w:lang w:val="en-US" w:eastAsia="zh-CN"/>
              </w:rPr>
              <w:t>宁南县竹寿镇二台坡</w:t>
            </w:r>
            <w:r>
              <w:rPr>
                <w:rFonts w:hint="eastAsia" w:ascii="宋体" w:hAnsi="宋体" w:eastAsia="宋体" w:cs="宋体"/>
                <w:i w:val="0"/>
                <w:iCs w:val="0"/>
                <w:color w:val="000000"/>
                <w:kern w:val="0"/>
                <w:sz w:val="22"/>
                <w:szCs w:val="22"/>
                <w:u w:val="none"/>
                <w:lang w:val="en-US" w:eastAsia="zh-CN" w:bidi="ar"/>
              </w:rPr>
              <w:t>）</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2023.7--2023.8期间根据情况安排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3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491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预计使用10天。配重及主臂参数详见附表。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备注：以上报价为含税价格（需开增值税专用发票，报价需明确税率）含吊车燃油费、司机保险，不计路途，进出场费单算。递交《报价单》时间为2023年8月10日之前。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lang w:val="en-US" w:bidi="ar-SA"/>
        </w:rPr>
      </w:pPr>
    </w:p>
    <w:p>
      <w:pPr>
        <w:widowControl/>
        <w:jc w:val="left"/>
        <w:rPr>
          <w:lang w:val="en-US" w:bidi="ar-SA"/>
        </w:rPr>
      </w:pPr>
    </w:p>
    <w:p>
      <w:pPr>
        <w:pStyle w:val="2"/>
        <w:rPr>
          <w:rFonts w:hint="eastAsia"/>
          <w:lang w:val="en-US" w:eastAsia="zh-CN" w:bidi="ar-SA"/>
        </w:rPr>
      </w:pPr>
      <w:r>
        <w:rPr>
          <w:rFonts w:hint="eastAsia"/>
          <w:lang w:val="en-US" w:eastAsia="zh-CN" w:bidi="ar-SA"/>
        </w:rPr>
        <w:t>附表：</w:t>
      </w:r>
    </w:p>
    <w:tbl>
      <w:tblPr>
        <w:tblStyle w:val="14"/>
        <w:tblW w:w="134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263"/>
        <w:gridCol w:w="1387"/>
        <w:gridCol w:w="913"/>
        <w:gridCol w:w="975"/>
        <w:gridCol w:w="1845"/>
        <w:gridCol w:w="1305"/>
        <w:gridCol w:w="837"/>
        <w:gridCol w:w="1938"/>
        <w:gridCol w:w="147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348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宁南服务区B匝道1号大桥第五联钢箱梁吊装工况表（</w:t>
            </w:r>
            <w:r>
              <w:rPr>
                <w:rFonts w:hint="eastAsia" w:ascii="宋体" w:hAnsi="宋体" w:eastAsia="宋体" w:cs="宋体"/>
                <w:b/>
                <w:bCs/>
                <w:i w:val="0"/>
                <w:iCs w:val="0"/>
                <w:color w:val="auto"/>
                <w:kern w:val="0"/>
                <w:sz w:val="28"/>
                <w:szCs w:val="28"/>
                <w:u w:val="none"/>
                <w:lang w:val="en-US" w:eastAsia="zh-CN" w:bidi="ar"/>
              </w:rPr>
              <w:t>XGC150履带吊</w:t>
            </w:r>
            <w:r>
              <w:rPr>
                <w:rFonts w:hint="eastAsia" w:ascii="宋体" w:hAnsi="宋体" w:eastAsia="宋体" w:cs="宋体"/>
                <w:b/>
                <w:bCs/>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配重（t）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22.66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全配重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21.23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全配重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22.44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全配重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全配重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22.66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全配重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全配重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22.66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全配重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A22D54"/>
    <w:rsid w:val="02DD4AEC"/>
    <w:rsid w:val="04333419"/>
    <w:rsid w:val="0BF04F64"/>
    <w:rsid w:val="0D074A6C"/>
    <w:rsid w:val="125C471A"/>
    <w:rsid w:val="199D3F96"/>
    <w:rsid w:val="1A39185D"/>
    <w:rsid w:val="1F07713E"/>
    <w:rsid w:val="1F7F1DD4"/>
    <w:rsid w:val="211871FA"/>
    <w:rsid w:val="23BA2F97"/>
    <w:rsid w:val="27C40E16"/>
    <w:rsid w:val="28167080"/>
    <w:rsid w:val="2A08297F"/>
    <w:rsid w:val="2DE62848"/>
    <w:rsid w:val="2EA756E3"/>
    <w:rsid w:val="307D48E1"/>
    <w:rsid w:val="32C23872"/>
    <w:rsid w:val="34A018E6"/>
    <w:rsid w:val="34C630EF"/>
    <w:rsid w:val="3C0D345A"/>
    <w:rsid w:val="3D3709FF"/>
    <w:rsid w:val="3DFB4929"/>
    <w:rsid w:val="433A3292"/>
    <w:rsid w:val="43B167AA"/>
    <w:rsid w:val="45AB028E"/>
    <w:rsid w:val="45B8114E"/>
    <w:rsid w:val="46F078F8"/>
    <w:rsid w:val="46FD7572"/>
    <w:rsid w:val="470F731E"/>
    <w:rsid w:val="483D156B"/>
    <w:rsid w:val="48F5691C"/>
    <w:rsid w:val="496003AC"/>
    <w:rsid w:val="49904129"/>
    <w:rsid w:val="49BA5748"/>
    <w:rsid w:val="4AA97B9F"/>
    <w:rsid w:val="4B0B3E6A"/>
    <w:rsid w:val="4D1F19DC"/>
    <w:rsid w:val="4D423386"/>
    <w:rsid w:val="4F960564"/>
    <w:rsid w:val="56AC5215"/>
    <w:rsid w:val="588E0972"/>
    <w:rsid w:val="5A500518"/>
    <w:rsid w:val="5A767B16"/>
    <w:rsid w:val="5ACC43F0"/>
    <w:rsid w:val="5B3240FE"/>
    <w:rsid w:val="5D592468"/>
    <w:rsid w:val="5D942CDE"/>
    <w:rsid w:val="5DE30064"/>
    <w:rsid w:val="5F03343C"/>
    <w:rsid w:val="60B41562"/>
    <w:rsid w:val="62DB68C0"/>
    <w:rsid w:val="636360E0"/>
    <w:rsid w:val="6366186B"/>
    <w:rsid w:val="63C164AD"/>
    <w:rsid w:val="63E944D3"/>
    <w:rsid w:val="64F56445"/>
    <w:rsid w:val="6AEB3AC8"/>
    <w:rsid w:val="6F460571"/>
    <w:rsid w:val="70B64897"/>
    <w:rsid w:val="71807EB6"/>
    <w:rsid w:val="74796AB8"/>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1545</Words>
  <Characters>1792</Characters>
  <Lines>46</Lines>
  <Paragraphs>13</Paragraphs>
  <TotalTime>4</TotalTime>
  <ScaleCrop>false</ScaleCrop>
  <LinksUpToDate>false</LinksUpToDate>
  <CharactersWithSpaces>1826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2023-08-02T02:49:44Z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EA1071EF4ED043BDB36515E53ED9C3DE_13</vt:lpwstr>
  </property>
</Properties>
</file>