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eastAsia="zh-CN"/>
        </w:rPr>
      </w:pPr>
    </w:p>
    <w:p>
      <w:pPr>
        <w:jc w:val="center"/>
        <w:rPr>
          <w:rFonts w:eastAsia="黑体"/>
          <w:b/>
          <w:sz w:val="52"/>
          <w:szCs w:val="52"/>
        </w:rPr>
      </w:pPr>
      <w:r>
        <w:rPr>
          <w:rFonts w:hint="eastAsia" w:ascii="黑体" w:hAnsi="黑体" w:eastAsia="黑体"/>
          <w:b/>
          <w:sz w:val="52"/>
          <w:szCs w:val="52"/>
          <w:lang w:val="en-US" w:eastAsia="zh-CN"/>
        </w:rPr>
        <w:t>内威荣U肋</w:t>
      </w:r>
      <w:r>
        <w:rPr>
          <w:rFonts w:hint="eastAsia" w:ascii="黑体" w:hAnsi="黑体" w:eastAsia="黑体"/>
          <w:b/>
          <w:sz w:val="52"/>
          <w:szCs w:val="52"/>
        </w:rPr>
        <w:t>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30724</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7</w:t>
      </w:r>
      <w:r>
        <w:rPr>
          <w:rFonts w:hint="eastAsia" w:ascii="黑体" w:hAnsi="黑体" w:eastAsia="黑体"/>
          <w:sz w:val="32"/>
          <w:szCs w:val="32"/>
        </w:rPr>
        <w:t>月</w:t>
      </w:r>
      <w:r>
        <w:rPr>
          <w:rFonts w:hint="eastAsia" w:ascii="黑体" w:hAnsi="黑体" w:eastAsia="黑体"/>
          <w:sz w:val="32"/>
          <w:szCs w:val="32"/>
          <w:lang w:val="en-US" w:eastAsia="zh-CN"/>
        </w:rPr>
        <w:t>24</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内威荣U肋</w:t>
      </w:r>
      <w:r>
        <w:rPr>
          <w:rFonts w:hint="eastAsia"/>
          <w:color w:val="000000" w:themeColor="text1"/>
          <w:sz w:val="24"/>
          <w14:textFill>
            <w14:solidFill>
              <w14:schemeClr w14:val="tx1"/>
            </w14:solidFill>
          </w14:textFill>
        </w:rPr>
        <w:t>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w:t>
      </w:r>
      <w:r>
        <w:rPr>
          <w:rFonts w:hint="eastAsia"/>
          <w:color w:val="000000" w:themeColor="text1"/>
          <w:sz w:val="24"/>
          <w:lang w:val="en-US" w:eastAsia="zh-CN"/>
          <w14:textFill>
            <w14:solidFill>
              <w14:schemeClr w14:val="tx1"/>
            </w14:solidFill>
          </w14:textFill>
        </w:rPr>
        <w:t>U肋</w:t>
      </w:r>
      <w:r>
        <w:rPr>
          <w:rFonts w:hint="eastAsia"/>
          <w:color w:val="000000" w:themeColor="text1"/>
          <w:sz w:val="24"/>
          <w14:textFill>
            <w14:solidFill>
              <w14:schemeClr w14:val="tx1"/>
            </w14:solidFill>
          </w14:textFill>
        </w:rPr>
        <w:t>，材质为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92</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r>
        <w:rPr>
          <w:rFonts w:hint="eastAsia"/>
          <w:color w:val="000000" w:themeColor="text1"/>
          <w:sz w:val="24"/>
          <w:lang w:val="en-US" w:eastAsia="zh-CN"/>
          <w14:textFill>
            <w14:solidFill>
              <w14:schemeClr w14:val="tx1"/>
            </w14:solidFill>
          </w14:textFill>
        </w:rPr>
        <w:t>图们江路29号</w:t>
      </w:r>
      <w:bookmarkStart w:id="0" w:name="_GoBack"/>
      <w:bookmarkEnd w:id="0"/>
      <w:r>
        <w:rPr>
          <w:rFonts w:hint="eastAsia"/>
          <w:color w:val="000000" w:themeColor="text1"/>
          <w:sz w:val="24"/>
          <w14:textFill>
            <w14:solidFill>
              <w14:schemeClr w14:val="tx1"/>
            </w14:solidFill>
          </w14:textFill>
        </w:rPr>
        <w:t>。</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：合同签订生效2日内甲方支付合同总额30%的定金，所有货物到厂，经甲方验收合格10日内，甲方支付至到厂货物货款的95%，剩余5%待第三方检验结果合格后15日内支付。</w:t>
      </w:r>
    </w:p>
    <w:p>
      <w:pPr>
        <w:pStyle w:val="2"/>
        <w:spacing w:line="360" w:lineRule="auto"/>
        <w:ind w:firstLine="480" w:firstLineChars="20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25</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5004" w:type="pct"/>
        <w:tblInd w:w="0" w:type="dxa"/>
        <w:tblLayout w:type="autofit"/>
        <w:tblCellMar>
          <w:top w:w="0" w:type="dxa"/>
          <w:left w:w="28" w:type="dxa"/>
          <w:bottom w:w="0" w:type="dxa"/>
          <w:right w:w="0" w:type="dxa"/>
        </w:tblCellMar>
      </w:tblPr>
      <w:tblGrid>
        <w:gridCol w:w="485"/>
        <w:gridCol w:w="863"/>
        <w:gridCol w:w="1797"/>
        <w:gridCol w:w="965"/>
        <w:gridCol w:w="1100"/>
        <w:gridCol w:w="956"/>
        <w:gridCol w:w="1254"/>
        <w:gridCol w:w="959"/>
        <w:gridCol w:w="1296"/>
        <w:gridCol w:w="1604"/>
        <w:gridCol w:w="1498"/>
        <w:gridCol w:w="1293"/>
        <w:gridCol w:w="1004"/>
      </w:tblGrid>
      <w:tr>
        <w:tblPrEx>
          <w:tblCellMar>
            <w:top w:w="0" w:type="dxa"/>
            <w:left w:w="28" w:type="dxa"/>
            <w:bottom w:w="0" w:type="dxa"/>
            <w:right w:w="0" w:type="dxa"/>
          </w:tblCellMar>
        </w:tblPrEx>
        <w:trPr>
          <w:trHeight w:val="455"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97" w:hRule="atLeast"/>
        </w:trPr>
        <w:tc>
          <w:tcPr>
            <w:tcW w:w="3209"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97" w:hRule="atLeast"/>
        </w:trPr>
        <w:tc>
          <w:tcPr>
            <w:tcW w:w="16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8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680" w:type="pct"/>
            <w:gridSpan w:val="2"/>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lang w:val="en-US" w:eastAsia="zh-CN"/>
              </w:rPr>
              <w:t>规格</w:t>
            </w:r>
            <w:r>
              <w:rPr>
                <w:rFonts w:hint="eastAsia" w:asciiTheme="majorEastAsia" w:hAnsiTheme="majorEastAsia" w:eastAsiaTheme="majorEastAsia" w:cstheme="majorEastAsia"/>
                <w:color w:val="000000"/>
                <w:sz w:val="22"/>
                <w:szCs w:val="22"/>
              </w:rPr>
              <w:t>（mm）</w:t>
            </w:r>
          </w:p>
        </w:tc>
        <w:tc>
          <w:tcPr>
            <w:tcW w:w="416"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w:t>
            </w:r>
            <w:r>
              <w:rPr>
                <w:rFonts w:hint="eastAsia" w:asciiTheme="majorEastAsia" w:hAnsiTheme="majorEastAsia" w:eastAsiaTheme="majorEastAsia" w:cstheme="majorEastAsia"/>
                <w:kern w:val="0"/>
                <w:sz w:val="22"/>
                <w:szCs w:val="22"/>
                <w:lang w:val="en-US" w:eastAsia="zh-CN" w:bidi="ar"/>
              </w:rPr>
              <w:t>根</w:t>
            </w:r>
            <w:r>
              <w:rPr>
                <w:rFonts w:hint="eastAsia" w:asciiTheme="majorEastAsia" w:hAnsiTheme="majorEastAsia" w:eastAsiaTheme="majorEastAsia" w:cstheme="majorEastAsia"/>
                <w:kern w:val="0"/>
                <w:sz w:val="22"/>
                <w:szCs w:val="22"/>
                <w:lang w:bidi="ar"/>
              </w:rPr>
              <w:t>）</w:t>
            </w:r>
          </w:p>
        </w:tc>
        <w:tc>
          <w:tcPr>
            <w:tcW w:w="4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9" w:type="pct"/>
            <w:gridSpan w:val="2"/>
            <w:tcBorders>
              <w:top w:val="single" w:color="000000" w:sz="8" w:space="0"/>
              <w:left w:val="single" w:color="000000" w:sz="8" w:space="0"/>
              <w:bottom w:val="single" w:color="auto" w:sz="4"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2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3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97" w:hRule="atLeast"/>
        </w:trPr>
        <w:tc>
          <w:tcPr>
            <w:tcW w:w="16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8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80" w:type="pct"/>
            <w:gridSpan w:val="2"/>
            <w:vMerge w:val="continue"/>
            <w:tcBorders>
              <w:left w:val="single" w:color="000000" w:sz="8" w:space="0"/>
              <w:bottom w:val="single" w:color="000000" w:sz="8" w:space="0"/>
              <w:right w:val="single" w:color="000000" w:sz="8" w:space="0"/>
            </w:tcBorders>
            <w:shd w:val="clear" w:color="auto" w:fill="auto"/>
            <w:vAlign w:val="center"/>
          </w:tcPr>
          <w:p>
            <w:pPr>
              <w:rPr>
                <w:rFonts w:hint="eastAsia" w:asciiTheme="majorEastAsia" w:hAnsiTheme="majorEastAsia" w:eastAsiaTheme="majorEastAsia" w:cstheme="majorEastAsia"/>
                <w:sz w:val="22"/>
                <w:szCs w:val="22"/>
              </w:rPr>
            </w:pPr>
          </w:p>
        </w:tc>
        <w:tc>
          <w:tcPr>
            <w:tcW w:w="416"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28" w:type="pct"/>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28" w:type="pct"/>
            <w:vMerge w:val="continue"/>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kern w:val="0"/>
                <w:sz w:val="22"/>
                <w:szCs w:val="22"/>
                <w:lang w:bidi="ar"/>
              </w:rPr>
              <w:t>1</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8875</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48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19.196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2</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9250</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20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8.336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3</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9400</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40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16.943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4</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13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5.594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5</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9850</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22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9.765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6</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10600</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21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10.030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7</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10750</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14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6.782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8</w:t>
            </w:r>
          </w:p>
        </w:tc>
        <w:tc>
          <w:tcPr>
            <w:tcW w:w="2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lang w:val="en-US" w:eastAsia="zh-CN"/>
              </w:rPr>
              <w:t>U肋</w:t>
            </w:r>
          </w:p>
        </w:tc>
        <w:tc>
          <w:tcPr>
            <w:tcW w:w="5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8*300*280*170</w:t>
            </w:r>
          </w:p>
        </w:tc>
        <w:tc>
          <w:tcPr>
            <w:tcW w:w="416" w:type="pct"/>
            <w:tcBorders>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10930</w:t>
            </w:r>
          </w:p>
        </w:tc>
        <w:tc>
          <w:tcPr>
            <w:tcW w:w="3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30 </w:t>
            </w:r>
          </w:p>
        </w:tc>
        <w:tc>
          <w:tcPr>
            <w:tcW w:w="129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 xml:space="preserve">14.775 </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p>
        </w:tc>
        <w:tc>
          <w:tcPr>
            <w:tcW w:w="428" w:type="pct"/>
            <w:tcBorders>
              <w:top w:val="single" w:color="000000" w:sz="8" w:space="0"/>
              <w:left w:val="single" w:color="auto" w:sz="4"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9</w:t>
            </w:r>
          </w:p>
        </w:tc>
        <w:tc>
          <w:tcPr>
            <w:tcW w:w="28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U肋衬垫</w:t>
            </w:r>
          </w:p>
        </w:tc>
        <w:tc>
          <w:tcPr>
            <w:tcW w:w="5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2"/>
                <w:szCs w:val="22"/>
                <w:lang w:val="en-US"/>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680"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6*50*685</w:t>
            </w:r>
          </w:p>
        </w:tc>
        <w:tc>
          <w:tcPr>
            <w:tcW w:w="41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4"/>
                <w:szCs w:val="24"/>
                <w:u w:val="none"/>
                <w:lang w:val="en-US" w:eastAsia="zh-CN" w:bidi="ar"/>
              </w:rPr>
              <w:t>400</w:t>
            </w:r>
          </w:p>
        </w:tc>
        <w:tc>
          <w:tcPr>
            <w:tcW w:w="12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u w:val="none"/>
                <w:lang w:val="en-US" w:eastAsia="zh-CN" w:bidi="ar"/>
              </w:rPr>
              <w:t xml:space="preserve">0.645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2045" w:type="pct"/>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416"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608</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u w:val="none"/>
                <w:lang w:val="en-US" w:eastAsia="zh-CN" w:bidi="ar"/>
              </w:rPr>
              <w:t xml:space="preserve">92.066 </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w:t>
            </w:r>
            <w:r>
              <w:rPr>
                <w:rFonts w:hint="eastAsia"/>
                <w:lang w:val="en-US" w:eastAsia="zh-CN"/>
              </w:rPr>
              <w:t>19</w:t>
            </w:r>
            <w:r>
              <w:rPr>
                <w:rFonts w:hint="eastAsia"/>
              </w:rPr>
              <w:t>，厚度偏差满足N类要求</w:t>
            </w:r>
            <w:r>
              <w:rPr>
                <w:rFonts w:hint="eastAsia"/>
                <w:lang w:eastAsia="zh-CN"/>
              </w:rPr>
              <w:t>；</w:t>
            </w:r>
            <w:r>
              <w:rPr>
                <w:rFonts w:hint="eastAsia"/>
                <w:lang w:val="en-US" w:eastAsia="zh-CN"/>
              </w:rPr>
              <w:t>3.U肋内外表面除锈至sa2.5,涂无机硅酸锌车间底漆1道，漆膜厚度不小于25μm；4.U肋两端需开设37度的坡口，U肋成型外形尺寸详见附图；5.U肋成型区域不得出现裂纹，两端不得出现钢板轧制毛边或存在缺陷的裁切边。</w:t>
            </w:r>
          </w:p>
        </w:tc>
      </w:tr>
      <w:tr>
        <w:tblPrEx>
          <w:tblCellMar>
            <w:top w:w="0" w:type="dxa"/>
            <w:left w:w="28" w:type="dxa"/>
            <w:bottom w:w="0" w:type="dxa"/>
            <w:right w:w="0" w:type="dxa"/>
          </w:tblCellMar>
        </w:tblPrEx>
        <w:trPr>
          <w:trHeight w:val="397" w:hRule="atLeast"/>
        </w:trPr>
        <w:tc>
          <w:tcPr>
            <w:tcW w:w="172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16"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16"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38"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color w:val="0000FF"/>
          <w:sz w:val="24"/>
          <w:lang w:val="en-US" w:bidi="ar-SA"/>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r>
        <w:rPr>
          <w:color w:val="0000FF"/>
          <w:sz w:val="24"/>
          <w:lang w:val="en-US" w:bidi="ar-SA"/>
        </w:rPr>
        <w:br w:type="page"/>
      </w:r>
    </w:p>
    <w:p>
      <w:pPr>
        <w:pStyle w:val="2"/>
        <w:jc w:val="center"/>
      </w:pPr>
    </w:p>
    <w:p>
      <w:pPr>
        <w:pStyle w:val="2"/>
        <w:jc w:val="center"/>
      </w:pPr>
    </w:p>
    <w:p>
      <w:pPr>
        <w:pStyle w:val="2"/>
        <w:jc w:val="center"/>
      </w:pPr>
      <w:r>
        <w:drawing>
          <wp:inline distT="0" distB="0" distL="114300" distR="114300">
            <wp:extent cx="7724775" cy="55245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7724775" cy="5524500"/>
                    </a:xfrm>
                    <a:prstGeom prst="rect">
                      <a:avLst/>
                    </a:prstGeom>
                    <a:noFill/>
                    <a:ln>
                      <a:noFill/>
                    </a:ln>
                  </pic:spPr>
                </pic:pic>
              </a:graphicData>
            </a:graphic>
          </wp:inline>
        </w:drawing>
      </w:r>
    </w:p>
    <w:p>
      <w:pPr>
        <w:pStyle w:val="2"/>
        <w:jc w:val="center"/>
      </w:pPr>
    </w:p>
    <w:p>
      <w:pPr>
        <w:pStyle w:val="2"/>
        <w:jc w:val="center"/>
      </w:pPr>
    </w:p>
    <w:p>
      <w:pPr>
        <w:pStyle w:val="2"/>
        <w:jc w:val="center"/>
        <w:rPr>
          <w:lang w:val="en-US"/>
        </w:rPr>
      </w:pPr>
    </w:p>
    <w:p>
      <w:pPr>
        <w:pStyle w:val="2"/>
        <w:jc w:val="center"/>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r>
        <w:drawing>
          <wp:inline distT="0" distB="0" distL="114300" distR="114300">
            <wp:extent cx="7477125" cy="5486400"/>
            <wp:effectExtent l="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7477125" cy="5486400"/>
                    </a:xfrm>
                    <a:prstGeom prst="rect">
                      <a:avLst/>
                    </a:prstGeom>
                    <a:noFill/>
                    <a:ln>
                      <a:noFill/>
                    </a:ln>
                  </pic:spPr>
                </pic:pic>
              </a:graphicData>
            </a:graphic>
          </wp:inline>
        </w:drawing>
      </w: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0D2F671B"/>
    <w:rsid w:val="199D3F96"/>
    <w:rsid w:val="1A39185D"/>
    <w:rsid w:val="1BEE66AC"/>
    <w:rsid w:val="1F07713E"/>
    <w:rsid w:val="1F7F1DD4"/>
    <w:rsid w:val="23BA2F97"/>
    <w:rsid w:val="26292001"/>
    <w:rsid w:val="2A08297F"/>
    <w:rsid w:val="2DE62848"/>
    <w:rsid w:val="2EA756E3"/>
    <w:rsid w:val="307D48E1"/>
    <w:rsid w:val="32C23872"/>
    <w:rsid w:val="34A018E6"/>
    <w:rsid w:val="386D1B47"/>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2F51242"/>
    <w:rsid w:val="7525529E"/>
    <w:rsid w:val="759B70D5"/>
    <w:rsid w:val="772E0EFE"/>
    <w:rsid w:val="7B677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2852</Words>
  <Characters>3149</Characters>
  <Lines>39</Lines>
  <Paragraphs>11</Paragraphs>
  <TotalTime>6</TotalTime>
  <ScaleCrop>false</ScaleCrop>
  <LinksUpToDate>false</LinksUpToDate>
  <CharactersWithSpaces>3514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2023-07-24T07:01:34Z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