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b/>
          <w:bCs/>
          <w:sz w:val="44"/>
          <w:szCs w:val="44"/>
        </w:rPr>
        <w:t>公司信息化系统建设开发</w:t>
      </w:r>
    </w:p>
    <w:p>
      <w:pPr>
        <w:pStyle w:val="4"/>
        <w:tabs>
          <w:tab w:val="clear" w:pos="432"/>
        </w:tabs>
        <w:rPr>
          <w:sz w:val="44"/>
          <w:szCs w:val="44"/>
        </w:rPr>
      </w:pPr>
    </w:p>
    <w:p>
      <w:pPr>
        <w:pStyle w:val="4"/>
        <w:tabs>
          <w:tab w:val="clear" w:pos="432"/>
        </w:tabs>
        <w:rPr>
          <w:sz w:val="44"/>
          <w:szCs w:val="44"/>
        </w:rPr>
      </w:pPr>
      <w:r>
        <w:rPr>
          <w:rFonts w:hint="eastAsia" w:ascii="宋体" w:eastAsia="宋体"/>
          <w:sz w:val="44"/>
          <w:szCs w:val="44"/>
        </w:rPr>
        <w:t>招标文件</w:t>
      </w:r>
    </w:p>
    <w:p>
      <w:pPr>
        <w:ind w:left="538"/>
        <w:rPr>
          <w:rFonts w:hAnsi="宋体" w:cs="宋体"/>
          <w:b/>
          <w:color w:val="000000"/>
        </w:rPr>
      </w:pPr>
      <w:r>
        <w:rPr>
          <w:rFonts w:hint="eastAsia" w:hAnsi="宋体" w:cs="宋体"/>
          <w:b/>
          <w:color w:val="000000"/>
        </w:rPr>
        <w:t xml:space="preserve">             </w:t>
      </w:r>
    </w:p>
    <w:p>
      <w:pPr>
        <w:jc w:val="center"/>
        <w:rPr>
          <w:rFonts w:hAnsi="宋体" w:cs="宋体"/>
          <w:color w:val="000000"/>
          <w:sz w:val="32"/>
        </w:rPr>
      </w:pPr>
    </w:p>
    <w:p>
      <w:pPr>
        <w:jc w:val="center"/>
        <w:rPr>
          <w:rFonts w:hAnsi="宋体" w:cs="宋体"/>
          <w:color w:val="000000"/>
          <w:sz w:val="32"/>
        </w:rPr>
      </w:pPr>
    </w:p>
    <w:p>
      <w:pPr>
        <w:snapToGrid w:val="0"/>
        <w:spacing w:line="480" w:lineRule="auto"/>
        <w:jc w:val="both"/>
        <w:rPr>
          <w:rFonts w:hAnsi="宋体" w:cs="宋体"/>
          <w:b/>
          <w:color w:val="000000"/>
          <w:sz w:val="32"/>
        </w:rPr>
      </w:pPr>
    </w:p>
    <w:p>
      <w:pPr>
        <w:snapToGrid w:val="0"/>
        <w:spacing w:line="480" w:lineRule="auto"/>
        <w:jc w:val="center"/>
        <w:rPr>
          <w:rFonts w:hAnsi="宋体" w:cs="宋体"/>
          <w:b/>
          <w:color w:val="000000"/>
          <w:sz w:val="32"/>
        </w:rPr>
      </w:pPr>
    </w:p>
    <w:p>
      <w:pPr>
        <w:snapToGrid w:val="0"/>
        <w:spacing w:line="480" w:lineRule="auto"/>
        <w:jc w:val="center"/>
        <w:rPr>
          <w:rFonts w:hAnsi="宋体" w:cs="宋体"/>
          <w:b/>
          <w:color w:val="000000"/>
          <w:sz w:val="32"/>
        </w:rPr>
      </w:pPr>
    </w:p>
    <w:p>
      <w:pPr>
        <w:snapToGrid w:val="0"/>
        <w:spacing w:line="480" w:lineRule="auto"/>
        <w:jc w:val="center"/>
        <w:rPr>
          <w:rFonts w:hAnsi="宋体" w:cs="宋体"/>
          <w:b/>
          <w:sz w:val="32"/>
        </w:rPr>
        <w:sectPr>
          <w:headerReference r:id="rId5" w:type="first"/>
          <w:footerReference r:id="rId8" w:type="first"/>
          <w:headerReference r:id="rId3" w:type="default"/>
          <w:footerReference r:id="rId6" w:type="default"/>
          <w:headerReference r:id="rId4" w:type="even"/>
          <w:footerReference r:id="rId7" w:type="even"/>
          <w:pgSz w:w="11907" w:h="16840"/>
          <w:pgMar w:top="1418" w:right="1134" w:bottom="1134" w:left="1418" w:header="680" w:footer="907" w:gutter="0"/>
          <w:pgNumType w:start="1"/>
          <w:cols w:space="720" w:num="1"/>
          <w:docGrid w:linePitch="271" w:charSpace="0"/>
        </w:sectPr>
      </w:pPr>
      <w:r>
        <w:rPr>
          <w:rFonts w:hint="eastAsia" w:hAnsi="宋体" w:cs="宋体"/>
          <w:b/>
          <w:sz w:val="32"/>
        </w:rPr>
        <w:t>日  期：</w:t>
      </w:r>
      <w:r>
        <w:rPr>
          <w:rFonts w:hint="eastAsia" w:hAnsi="宋体" w:cs="宋体"/>
          <w:b/>
          <w:sz w:val="32"/>
          <w:u w:val="single"/>
        </w:rPr>
        <w:t xml:space="preserve">  2022  </w:t>
      </w:r>
      <w:r>
        <w:rPr>
          <w:rFonts w:hint="eastAsia" w:hAnsi="宋体" w:cs="宋体"/>
          <w:b/>
          <w:sz w:val="32"/>
        </w:rPr>
        <w:t>年</w:t>
      </w:r>
      <w:r>
        <w:rPr>
          <w:rFonts w:hint="eastAsia" w:hAnsi="宋体" w:cs="宋体"/>
          <w:b/>
          <w:sz w:val="32"/>
          <w:u w:val="single"/>
        </w:rPr>
        <w:t xml:space="preserve">  05 </w:t>
      </w:r>
      <w:r>
        <w:rPr>
          <w:rFonts w:hint="eastAsia" w:hAnsi="宋体" w:cs="宋体"/>
          <w:b/>
          <w:sz w:val="32"/>
        </w:rPr>
        <w:t>月</w:t>
      </w:r>
    </w:p>
    <w:p>
      <w:pPr>
        <w:pStyle w:val="5"/>
        <w:spacing w:beforeAutospacing="0" w:afterAutospacing="0" w:line="15" w:lineRule="atLeast"/>
        <w:rPr>
          <w:rFonts w:hint="default" w:ascii="仿宋_GB2312" w:hAnsi="微软雅黑" w:eastAsia="仿宋_GB2312" w:cs="仿宋_GB2312"/>
          <w:color w:val="000000"/>
          <w:sz w:val="31"/>
          <w:szCs w:val="31"/>
          <w:shd w:val="clear" w:color="auto" w:fill="FFFFFF"/>
        </w:rPr>
      </w:pPr>
      <w:r>
        <w:rPr>
          <w:rFonts w:ascii="黑体" w:eastAsia="黑体" w:cs="黑体"/>
          <w:color w:val="000000"/>
          <w:sz w:val="31"/>
          <w:szCs w:val="31"/>
          <w:shd w:val="clear" w:color="auto" w:fill="FFFFFF"/>
        </w:rPr>
        <w:t>一、项目名称</w:t>
      </w:r>
      <w:r>
        <w:rPr>
          <w:rFonts w:ascii="仿宋_GB2312" w:hAnsi="微软雅黑" w:eastAsia="仿宋_GB2312" w:cs="仿宋_GB2312"/>
          <w:b w:val="0"/>
          <w:color w:val="000000"/>
          <w:sz w:val="31"/>
          <w:szCs w:val="31"/>
          <w:shd w:val="clear" w:color="auto" w:fill="FFFFFF"/>
        </w:rPr>
        <w:t>：公司信息化系统建设开发</w:t>
      </w:r>
    </w:p>
    <w:p>
      <w:pPr>
        <w:spacing w:line="360" w:lineRule="auto"/>
        <w:jc w:val="both"/>
        <w:rPr>
          <w:rFonts w:ascii="仿宋_GB2312" w:hAnsi="微软雅黑" w:eastAsia="仿宋_GB2312" w:cs="仿宋_GB2312"/>
          <w:color w:val="000000"/>
          <w:sz w:val="31"/>
          <w:szCs w:val="31"/>
          <w:shd w:val="clear" w:color="auto" w:fill="FFFFFF"/>
        </w:rPr>
      </w:pPr>
      <w:r>
        <w:rPr>
          <w:rFonts w:hint="eastAsia" w:ascii="黑体" w:hAnsi="宋体" w:eastAsia="黑体" w:cs="黑体"/>
          <w:color w:val="000000"/>
          <w:sz w:val="31"/>
          <w:szCs w:val="31"/>
          <w:shd w:val="clear" w:color="auto" w:fill="FFFFFF"/>
        </w:rPr>
        <w:t>二、招标人：</w:t>
      </w:r>
      <w:r>
        <w:rPr>
          <w:rFonts w:hint="eastAsia" w:ascii="仿宋_GB2312" w:hAnsi="微软雅黑" w:eastAsia="仿宋_GB2312" w:cs="仿宋_GB2312"/>
          <w:color w:val="000000"/>
          <w:sz w:val="31"/>
          <w:szCs w:val="31"/>
          <w:shd w:val="clear" w:color="auto" w:fill="FFFFFF"/>
        </w:rPr>
        <w:t>四川纹江致远建筑开发工程有限公司</w:t>
      </w:r>
    </w:p>
    <w:p>
      <w:pPr>
        <w:pStyle w:val="12"/>
        <w:shd w:val="clear" w:color="auto" w:fill="FFFFFF"/>
        <w:spacing w:beforeAutospacing="0" w:afterAutospacing="0" w:line="555" w:lineRule="atLeast"/>
        <w:rPr>
          <w:rFonts w:ascii="黑体" w:hAnsi="宋体" w:eastAsia="黑体" w:cs="黑体"/>
          <w:color w:val="000000"/>
          <w:sz w:val="31"/>
          <w:szCs w:val="31"/>
          <w:shd w:val="clear" w:color="auto" w:fill="FFFFFF"/>
        </w:rPr>
      </w:pPr>
      <w:r>
        <w:rPr>
          <w:rFonts w:hint="eastAsia" w:ascii="黑体" w:hAnsi="宋体" w:eastAsia="黑体" w:cs="黑体"/>
          <w:color w:val="000000"/>
          <w:sz w:val="31"/>
          <w:szCs w:val="31"/>
          <w:shd w:val="clear" w:color="auto" w:fill="FFFFFF"/>
        </w:rPr>
        <w:t>三、招标服务事项：</w:t>
      </w:r>
    </w:p>
    <w:p>
      <w:pPr>
        <w:pStyle w:val="5"/>
        <w:spacing w:beforeAutospacing="0" w:afterAutospacing="0" w:line="15" w:lineRule="atLeast"/>
        <w:ind w:firstLine="620" w:firstLineChars="200"/>
        <w:rPr>
          <w:rFonts w:hint="default" w:ascii="仿宋_GB2312" w:hAnsi="微软雅黑" w:eastAsia="仿宋_GB2312" w:cs="仿宋_GB2312"/>
          <w:b w:val="0"/>
          <w:color w:val="000000"/>
          <w:sz w:val="31"/>
          <w:szCs w:val="31"/>
          <w:shd w:val="clear" w:color="auto" w:fill="FFFFFF"/>
        </w:rPr>
      </w:pPr>
      <w:r>
        <w:rPr>
          <w:rFonts w:ascii="仿宋_GB2312" w:hAnsi="微软雅黑" w:eastAsia="仿宋_GB2312" w:cs="仿宋_GB2312"/>
          <w:b w:val="0"/>
          <w:color w:val="000000"/>
          <w:sz w:val="31"/>
          <w:szCs w:val="31"/>
          <w:shd w:val="clear" w:color="auto" w:fill="FFFFFF"/>
        </w:rPr>
        <w:t>公司信息化系统建设开发服务。</w:t>
      </w:r>
    </w:p>
    <w:p>
      <w:pPr>
        <w:pStyle w:val="12"/>
        <w:shd w:val="clear" w:color="auto" w:fill="FFFFFF"/>
        <w:spacing w:beforeAutospacing="0" w:afterAutospacing="0" w:line="555" w:lineRule="atLeast"/>
        <w:rPr>
          <w:rFonts w:ascii="仿宋_GB2312" w:hAnsi="微软雅黑" w:eastAsia="仿宋_GB2312" w:cs="仿宋_GB2312"/>
          <w:b/>
          <w:bCs/>
          <w:color w:val="000000"/>
          <w:sz w:val="31"/>
          <w:szCs w:val="31"/>
          <w:shd w:val="clear" w:color="auto" w:fill="FFFFFF"/>
        </w:rPr>
      </w:pPr>
      <w:r>
        <w:rPr>
          <w:rFonts w:hint="eastAsia" w:ascii="仿宋_GB2312" w:hAnsi="微软雅黑" w:eastAsia="仿宋_GB2312" w:cs="仿宋_GB2312"/>
          <w:b/>
          <w:bCs/>
          <w:color w:val="000000"/>
          <w:sz w:val="31"/>
          <w:szCs w:val="31"/>
          <w:shd w:val="clear" w:color="auto" w:fill="FFFFFF"/>
        </w:rPr>
        <w:t>四、服务开始时间：</w:t>
      </w:r>
    </w:p>
    <w:p>
      <w:pPr>
        <w:pStyle w:val="12"/>
        <w:shd w:val="clear" w:color="auto" w:fill="FFFFFF"/>
        <w:spacing w:beforeAutospacing="0" w:afterAutospacing="0" w:line="555" w:lineRule="atLeast"/>
        <w:ind w:firstLine="620" w:firstLineChars="200"/>
        <w:rPr>
          <w:rFonts w:ascii="仿宋_GB2312" w:hAnsi="微软雅黑" w:eastAsia="仿宋_GB2312" w:cs="仿宋_GB2312"/>
          <w:color w:val="000000"/>
          <w:sz w:val="31"/>
          <w:szCs w:val="31"/>
          <w:shd w:val="clear" w:color="auto" w:fill="FFFFFF"/>
        </w:rPr>
      </w:pPr>
      <w:r>
        <w:rPr>
          <w:rFonts w:hint="eastAsia" w:ascii="仿宋_GB2312" w:hAnsi="微软雅黑" w:eastAsia="仿宋_GB2312" w:cs="仿宋_GB2312"/>
          <w:color w:val="000000"/>
          <w:sz w:val="31"/>
          <w:szCs w:val="31"/>
          <w:shd w:val="clear" w:color="auto" w:fill="FFFFFF"/>
        </w:rPr>
        <w:t>中标后1天内开始进行公司信息化系统建设开发服务。</w:t>
      </w:r>
    </w:p>
    <w:p>
      <w:pPr>
        <w:pStyle w:val="12"/>
        <w:shd w:val="clear" w:color="auto" w:fill="FFFFFF"/>
        <w:spacing w:beforeAutospacing="0" w:afterAutospacing="0" w:line="555" w:lineRule="atLeast"/>
        <w:rPr>
          <w:rFonts w:ascii="微软雅黑" w:hAnsi="微软雅黑" w:eastAsia="黑体" w:cs="微软雅黑"/>
          <w:color w:val="000000"/>
          <w:sz w:val="21"/>
          <w:szCs w:val="21"/>
        </w:rPr>
      </w:pPr>
      <w:r>
        <w:rPr>
          <w:rFonts w:hint="eastAsia" w:ascii="黑体" w:hAnsi="宋体" w:eastAsia="黑体" w:cs="黑体"/>
          <w:color w:val="000000"/>
          <w:sz w:val="31"/>
          <w:szCs w:val="31"/>
          <w:shd w:val="clear" w:color="auto" w:fill="FFFFFF"/>
        </w:rPr>
        <w:t>五、服务期限：</w:t>
      </w:r>
      <w:r>
        <w:rPr>
          <w:rFonts w:hint="eastAsia" w:ascii="仿宋_GB2312" w:hAnsi="微软雅黑" w:eastAsia="仿宋_GB2312" w:cs="仿宋_GB2312"/>
          <w:color w:val="000000"/>
          <w:sz w:val="31"/>
          <w:szCs w:val="31"/>
          <w:shd w:val="clear" w:color="auto" w:fill="FFFFFF"/>
        </w:rPr>
        <w:t>自工程公司信息化系统建设开发服务合同签署之日起至上述事项完成之日止。</w:t>
      </w:r>
    </w:p>
    <w:p>
      <w:pPr>
        <w:pStyle w:val="12"/>
        <w:shd w:val="clear" w:color="auto" w:fill="FFFFFF"/>
        <w:spacing w:beforeAutospacing="0" w:afterAutospacing="0" w:line="555" w:lineRule="atLeast"/>
        <w:rPr>
          <w:rFonts w:ascii="微软雅黑" w:hAnsi="微软雅黑" w:eastAsia="微软雅黑" w:cs="微软雅黑"/>
          <w:color w:val="000000"/>
          <w:sz w:val="21"/>
          <w:szCs w:val="21"/>
        </w:rPr>
      </w:pPr>
      <w:r>
        <w:rPr>
          <w:rFonts w:hint="eastAsia" w:ascii="黑体" w:hAnsi="宋体" w:eastAsia="黑体" w:cs="黑体"/>
          <w:color w:val="000000"/>
          <w:sz w:val="31"/>
          <w:szCs w:val="31"/>
          <w:shd w:val="clear" w:color="auto" w:fill="FFFFFF"/>
        </w:rPr>
        <w:t>六、单位资格要求：</w:t>
      </w:r>
    </w:p>
    <w:p>
      <w:pPr>
        <w:widowControl w:val="0"/>
        <w:spacing w:line="48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1、具有独立承担民事责任能力的合法企业提供营业执照；</w:t>
      </w:r>
    </w:p>
    <w:p>
      <w:pPr>
        <w:widowControl w:val="0"/>
        <w:spacing w:line="48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2、具有良好的商业信誉和健全的财务会计制度；</w:t>
      </w:r>
    </w:p>
    <w:p>
      <w:pPr>
        <w:widowControl w:val="0"/>
        <w:spacing w:line="48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3、具有履行合同所必须的设备和专业技术能力；</w:t>
      </w:r>
    </w:p>
    <w:p>
      <w:pPr>
        <w:widowControl w:val="0"/>
        <w:spacing w:line="48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4、具有依法缴纳税收和社会保障资金的良好记录；</w:t>
      </w:r>
    </w:p>
    <w:p>
      <w:pPr>
        <w:widowControl w:val="0"/>
        <w:spacing w:line="48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5、参加本次采购活动前三年内，在经营活动中没有重大违法违规记录；</w:t>
      </w:r>
    </w:p>
    <w:p>
      <w:pPr>
        <w:pStyle w:val="12"/>
        <w:shd w:val="clear" w:color="auto" w:fill="FFFFFF"/>
        <w:spacing w:beforeAutospacing="0" w:afterAutospacing="0" w:line="555" w:lineRule="atLeast"/>
        <w:ind w:firstLine="645"/>
        <w:rPr>
          <w:rFonts w:ascii="仿宋_GB2312" w:hAnsi="宋体" w:eastAsia="仿宋_GB2312"/>
          <w:sz w:val="28"/>
          <w:szCs w:val="28"/>
        </w:rPr>
      </w:pPr>
      <w:r>
        <w:rPr>
          <w:rFonts w:hint="eastAsia" w:ascii="黑体" w:hAnsi="宋体" w:eastAsia="黑体" w:cs="黑体"/>
          <w:color w:val="000000"/>
          <w:sz w:val="31"/>
          <w:szCs w:val="31"/>
          <w:shd w:val="clear" w:color="auto" w:fill="FFFFFF"/>
        </w:rPr>
        <w:t>七、公告发布：</w:t>
      </w:r>
      <w:r>
        <w:rPr>
          <w:rFonts w:hint="eastAsia" w:ascii="宋体" w:hAnsi="宋体" w:eastAsia="宋体" w:cs="宋体"/>
          <w:sz w:val="31"/>
          <w:szCs w:val="31"/>
        </w:rPr>
        <w:t>四川纹江致远建筑开发工程有限公司官网（网址：http://scwjzy.cn/）</w:t>
      </w:r>
      <w:r>
        <w:rPr>
          <w:rFonts w:ascii="仿宋_GB2312" w:hAnsi="微软雅黑" w:eastAsia="仿宋_GB2312" w:cs="仿宋_GB2312"/>
          <w:color w:val="000000"/>
          <w:sz w:val="31"/>
          <w:szCs w:val="31"/>
          <w:shd w:val="clear" w:color="auto" w:fill="FFFFFF"/>
        </w:rPr>
        <w:t>网站上发布。</w:t>
      </w:r>
    </w:p>
    <w:p>
      <w:pPr>
        <w:pStyle w:val="12"/>
        <w:shd w:val="clear" w:color="auto" w:fill="FFFFFF"/>
        <w:spacing w:beforeAutospacing="0" w:afterAutospacing="0" w:line="555" w:lineRule="atLeast"/>
        <w:ind w:firstLine="645"/>
        <w:rPr>
          <w:rFonts w:ascii="黑体" w:hAnsi="宋体" w:eastAsia="黑体" w:cs="黑体"/>
          <w:color w:val="000000"/>
          <w:sz w:val="31"/>
          <w:szCs w:val="31"/>
          <w:shd w:val="clear" w:color="auto" w:fill="FFFFFF"/>
        </w:rPr>
      </w:pPr>
      <w:r>
        <w:rPr>
          <w:rFonts w:hint="eastAsia" w:ascii="黑体" w:hAnsi="宋体" w:eastAsia="黑体" w:cs="黑体"/>
          <w:color w:val="000000"/>
          <w:sz w:val="31"/>
          <w:szCs w:val="31"/>
          <w:shd w:val="clear" w:color="auto" w:fill="FFFFFF"/>
        </w:rPr>
        <w:t>八、招标文件获取：</w:t>
      </w:r>
    </w:p>
    <w:p>
      <w:pPr>
        <w:widowControl w:val="0"/>
        <w:spacing w:line="480" w:lineRule="exact"/>
        <w:ind w:firstLine="840" w:firstLineChars="300"/>
        <w:rPr>
          <w:rFonts w:ascii="仿宋" w:hAnsi="仿宋" w:eastAsia="仿宋" w:cs="仿宋"/>
          <w:sz w:val="28"/>
          <w:szCs w:val="28"/>
        </w:rPr>
      </w:pPr>
      <w:r>
        <w:rPr>
          <w:rFonts w:hint="eastAsia" w:ascii="仿宋" w:hAnsi="仿宋" w:eastAsia="仿宋" w:cs="仿宋"/>
          <w:sz w:val="28"/>
          <w:szCs w:val="28"/>
        </w:rPr>
        <w:t>8.1 投标报名。凡有意参加投标者，请于 2022年5月2</w:t>
      </w:r>
      <w:r>
        <w:rPr>
          <w:rFonts w:hint="eastAsia" w:ascii="仿宋" w:hAnsi="仿宋" w:eastAsia="仿宋" w:cs="仿宋"/>
          <w:sz w:val="28"/>
          <w:szCs w:val="28"/>
          <w:lang w:val="en-US" w:eastAsia="zh-CN"/>
        </w:rPr>
        <w:t>5</w:t>
      </w:r>
      <w:r>
        <w:rPr>
          <w:rFonts w:hint="eastAsia" w:ascii="仿宋" w:hAnsi="仿宋" w:eastAsia="仿宋" w:cs="仿宋"/>
          <w:sz w:val="28"/>
          <w:szCs w:val="28"/>
        </w:rPr>
        <w:t>日09时00分00秒至2022年5月2</w:t>
      </w:r>
      <w:r>
        <w:rPr>
          <w:rFonts w:hint="eastAsia" w:ascii="仿宋" w:hAnsi="仿宋" w:eastAsia="仿宋" w:cs="仿宋"/>
          <w:sz w:val="28"/>
          <w:szCs w:val="28"/>
          <w:lang w:val="en-US" w:eastAsia="zh-CN"/>
        </w:rPr>
        <w:t>7</w:t>
      </w:r>
      <w:r>
        <w:rPr>
          <w:rFonts w:hint="eastAsia" w:ascii="仿宋" w:hAnsi="仿宋" w:eastAsia="仿宋" w:cs="仿宋"/>
          <w:sz w:val="28"/>
          <w:szCs w:val="28"/>
        </w:rPr>
        <w:t>日17时00分00秒，登录四川纹江致远建筑开发工程有限公司官网（网址：http://scwjzy.cn/）获取招标文件。</w:t>
      </w:r>
    </w:p>
    <w:p>
      <w:pPr>
        <w:widowControl w:val="0"/>
        <w:spacing w:line="480" w:lineRule="exact"/>
        <w:rPr>
          <w:rFonts w:ascii="仿宋" w:hAnsi="仿宋" w:eastAsia="仿宋" w:cs="仿宋"/>
          <w:sz w:val="28"/>
          <w:szCs w:val="28"/>
        </w:rPr>
      </w:pPr>
      <w:r>
        <w:rPr>
          <w:rFonts w:hint="eastAsia" w:ascii="仿宋" w:hAnsi="仿宋" w:eastAsia="仿宋" w:cs="仿宋"/>
          <w:sz w:val="28"/>
          <w:szCs w:val="28"/>
        </w:rPr>
        <w:t xml:space="preserve">     8.2 招标文件供投标人使用。</w:t>
      </w:r>
    </w:p>
    <w:p>
      <w:pPr>
        <w:widowControl w:val="0"/>
        <w:spacing w:line="480" w:lineRule="exact"/>
        <w:rPr>
          <w:rFonts w:ascii="仿宋" w:hAnsi="仿宋" w:eastAsia="仿宋" w:cs="仿宋"/>
          <w:sz w:val="28"/>
          <w:szCs w:val="28"/>
        </w:rPr>
      </w:pPr>
      <w:r>
        <w:rPr>
          <w:rFonts w:hint="eastAsia" w:ascii="仿宋" w:hAnsi="仿宋" w:eastAsia="仿宋" w:cs="仿宋"/>
          <w:sz w:val="28"/>
          <w:szCs w:val="28"/>
        </w:rPr>
        <w:t xml:space="preserve">     8.3 招标人不提供邮购招标文件服务。</w:t>
      </w:r>
    </w:p>
    <w:p>
      <w:pPr>
        <w:widowControl w:val="0"/>
        <w:spacing w:line="480" w:lineRule="exact"/>
        <w:rPr>
          <w:rFonts w:ascii="仿宋_GB2312" w:hAnsi="宋体" w:eastAsia="仿宋_GB2312"/>
          <w:sz w:val="28"/>
          <w:szCs w:val="28"/>
          <w:lang w:bidi="ar"/>
        </w:rPr>
      </w:pPr>
      <w:r>
        <w:rPr>
          <w:rFonts w:hint="eastAsia" w:ascii="仿宋_GB2312" w:hAnsi="宋体" w:eastAsia="仿宋_GB2312"/>
          <w:sz w:val="28"/>
          <w:szCs w:val="28"/>
          <w:lang w:bidi="ar"/>
        </w:rPr>
        <w:t xml:space="preserve">     8.4 招标文件供投标人使用。</w:t>
      </w:r>
    </w:p>
    <w:p>
      <w:pPr>
        <w:widowControl w:val="0"/>
        <w:spacing w:line="480" w:lineRule="exact"/>
        <w:rPr>
          <w:rFonts w:ascii="仿宋_GB2312" w:hAnsi="微软雅黑" w:eastAsia="仿宋_GB2312" w:cs="仿宋_GB2312"/>
          <w:color w:val="000000"/>
          <w:sz w:val="28"/>
          <w:szCs w:val="28"/>
          <w:shd w:val="clear" w:color="auto" w:fill="FFFFFF"/>
        </w:rPr>
      </w:pPr>
      <w:r>
        <w:rPr>
          <w:rFonts w:hint="eastAsia" w:ascii="仿宋_GB2312" w:hAnsi="宋体" w:eastAsia="仿宋_GB2312"/>
          <w:sz w:val="28"/>
          <w:szCs w:val="28"/>
          <w:lang w:bidi="ar"/>
        </w:rPr>
        <w:t xml:space="preserve">     8.5 招标人不提供邮购招标文件服务。</w:t>
      </w:r>
    </w:p>
    <w:p>
      <w:pPr>
        <w:pStyle w:val="12"/>
        <w:shd w:val="clear" w:color="auto" w:fill="FFFFFF"/>
        <w:spacing w:beforeAutospacing="0" w:afterAutospacing="0" w:line="555" w:lineRule="atLeast"/>
        <w:ind w:firstLine="645"/>
        <w:rPr>
          <w:rFonts w:ascii="微软雅黑" w:hAnsi="微软雅黑" w:eastAsia="微软雅黑" w:cs="微软雅黑"/>
          <w:color w:val="000000"/>
          <w:sz w:val="21"/>
          <w:szCs w:val="21"/>
        </w:rPr>
      </w:pPr>
      <w:r>
        <w:rPr>
          <w:rFonts w:hint="eastAsia" w:ascii="黑体" w:hAnsi="宋体" w:eastAsia="黑体" w:cs="黑体"/>
          <w:color w:val="000000"/>
          <w:sz w:val="31"/>
          <w:szCs w:val="31"/>
          <w:shd w:val="clear" w:color="auto" w:fill="FFFFFF"/>
        </w:rPr>
        <w:t>九、报价文件要求及投送方式：</w:t>
      </w:r>
    </w:p>
    <w:p>
      <w:pPr>
        <w:pStyle w:val="12"/>
        <w:shd w:val="clear" w:color="auto" w:fill="FFFFFF"/>
        <w:spacing w:beforeAutospacing="0" w:afterAutospacing="0" w:line="555" w:lineRule="atLeast"/>
        <w:ind w:firstLine="645"/>
        <w:rPr>
          <w:rFonts w:ascii="微软雅黑" w:hAnsi="微软雅黑" w:eastAsia="微软雅黑" w:cs="微软雅黑"/>
          <w:color w:val="000000"/>
          <w:sz w:val="21"/>
          <w:szCs w:val="21"/>
        </w:rPr>
      </w:pPr>
      <w:r>
        <w:rPr>
          <w:rFonts w:ascii="仿宋_GB2312" w:hAnsi="微软雅黑" w:eastAsia="仿宋_GB2312" w:cs="仿宋_GB2312"/>
          <w:color w:val="000000"/>
          <w:sz w:val="31"/>
          <w:szCs w:val="31"/>
          <w:shd w:val="clear" w:color="auto" w:fill="FFFFFF"/>
        </w:rPr>
        <w:t>（一）报价文件递交截止时间：</w:t>
      </w:r>
      <w:r>
        <w:rPr>
          <w:rFonts w:hint="eastAsia" w:ascii="仿宋_GB2312" w:hAnsi="宋体" w:eastAsia="仿宋_GB2312"/>
          <w:sz w:val="28"/>
          <w:szCs w:val="28"/>
        </w:rPr>
        <w:t>2022年5月</w:t>
      </w:r>
      <w:r>
        <w:rPr>
          <w:rFonts w:hint="eastAsia" w:ascii="仿宋_GB2312" w:hAnsi="宋体" w:eastAsia="仿宋_GB2312"/>
          <w:sz w:val="28"/>
          <w:szCs w:val="28"/>
          <w:lang w:val="en-US" w:eastAsia="zh-CN"/>
        </w:rPr>
        <w:t>30</w:t>
      </w:r>
      <w:r>
        <w:rPr>
          <w:rFonts w:hint="eastAsia" w:ascii="仿宋_GB2312" w:hAnsi="宋体" w:eastAsia="仿宋_GB2312"/>
          <w:sz w:val="28"/>
          <w:szCs w:val="28"/>
        </w:rPr>
        <w:t>日1</w:t>
      </w:r>
      <w:r>
        <w:rPr>
          <w:rFonts w:hint="eastAsia" w:ascii="仿宋_GB2312" w:hAnsi="宋体" w:eastAsia="仿宋_GB2312"/>
          <w:sz w:val="28"/>
          <w:szCs w:val="28"/>
          <w:lang w:val="en-US" w:eastAsia="zh-CN"/>
        </w:rPr>
        <w:t>4</w:t>
      </w:r>
      <w:r>
        <w:rPr>
          <w:rFonts w:hint="eastAsia" w:ascii="仿宋_GB2312" w:hAnsi="宋体" w:eastAsia="仿宋_GB2312"/>
          <w:sz w:val="28"/>
          <w:szCs w:val="28"/>
        </w:rPr>
        <w:t>时</w:t>
      </w:r>
      <w:r>
        <w:rPr>
          <w:rFonts w:hint="eastAsia" w:ascii="仿宋_GB2312" w:hAnsi="宋体" w:eastAsia="仿宋_GB2312"/>
          <w:sz w:val="28"/>
          <w:szCs w:val="28"/>
          <w:lang w:val="en-US" w:eastAsia="zh-CN"/>
        </w:rPr>
        <w:t>3</w:t>
      </w:r>
      <w:r>
        <w:rPr>
          <w:rFonts w:hint="eastAsia" w:ascii="仿宋_GB2312" w:hAnsi="宋体" w:eastAsia="仿宋_GB2312"/>
          <w:sz w:val="28"/>
          <w:szCs w:val="28"/>
        </w:rPr>
        <w:t>0分</w:t>
      </w:r>
      <w:r>
        <w:rPr>
          <w:rFonts w:ascii="仿宋_GB2312" w:hAnsi="微软雅黑" w:eastAsia="仿宋_GB2312" w:cs="仿宋_GB2312"/>
          <w:color w:val="000000"/>
          <w:sz w:val="31"/>
          <w:szCs w:val="31"/>
          <w:shd w:val="clear" w:color="auto" w:fill="FFFFFF"/>
        </w:rPr>
        <w:t>，逾期递交无效。</w:t>
      </w:r>
    </w:p>
    <w:p>
      <w:pPr>
        <w:pStyle w:val="12"/>
        <w:shd w:val="clear" w:color="auto" w:fill="FFFFFF"/>
        <w:spacing w:beforeAutospacing="0" w:afterAutospacing="0" w:line="555" w:lineRule="atLeast"/>
        <w:ind w:firstLine="645"/>
        <w:rPr>
          <w:rFonts w:ascii="仿宋_GB2312" w:hAnsi="微软雅黑" w:eastAsia="仿宋_GB2312" w:cs="仿宋_GB2312"/>
          <w:b w:val="0"/>
          <w:bCs w:val="0"/>
          <w:color w:val="000000"/>
          <w:sz w:val="31"/>
          <w:szCs w:val="31"/>
          <w:shd w:val="clear" w:color="auto" w:fill="FFFFFF"/>
        </w:rPr>
      </w:pPr>
      <w:r>
        <w:rPr>
          <w:rFonts w:ascii="仿宋_GB2312" w:hAnsi="微软雅黑" w:eastAsia="仿宋_GB2312" w:cs="仿宋_GB2312"/>
          <w:b w:val="0"/>
          <w:bCs w:val="0"/>
          <w:color w:val="000000"/>
          <w:sz w:val="31"/>
          <w:szCs w:val="31"/>
          <w:shd w:val="clear" w:color="auto" w:fill="FFFFFF"/>
        </w:rPr>
        <w:t>（二）报价文件组成：</w:t>
      </w:r>
    </w:p>
    <w:p>
      <w:pPr>
        <w:pStyle w:val="12"/>
        <w:shd w:val="clear" w:color="auto" w:fill="FFFFFF"/>
        <w:spacing w:beforeAutospacing="0" w:afterAutospacing="0" w:line="555" w:lineRule="atLeast"/>
        <w:ind w:firstLine="560" w:firstLineChars="200"/>
        <w:rPr>
          <w:rFonts w:ascii="仿宋_GB2312" w:hAnsi="宋体" w:eastAsia="仿宋_GB2312"/>
          <w:b w:val="0"/>
          <w:bCs w:val="0"/>
          <w:sz w:val="28"/>
          <w:szCs w:val="28"/>
        </w:rPr>
      </w:pPr>
      <w:r>
        <w:rPr>
          <w:rFonts w:hint="eastAsia" w:ascii="仿宋_GB2312" w:hAnsi="宋体" w:eastAsia="仿宋_GB2312"/>
          <w:b w:val="0"/>
          <w:bCs w:val="0"/>
          <w:sz w:val="28"/>
          <w:szCs w:val="28"/>
        </w:rPr>
        <w:t>1、授权委托书（若委托代理人开标应提供）；</w:t>
      </w:r>
    </w:p>
    <w:p>
      <w:pPr>
        <w:pStyle w:val="12"/>
        <w:shd w:val="clear" w:color="auto" w:fill="FFFFFF"/>
        <w:spacing w:beforeAutospacing="0" w:afterAutospacing="0" w:line="555" w:lineRule="atLeast"/>
        <w:ind w:firstLine="560" w:firstLineChars="200"/>
        <w:rPr>
          <w:rFonts w:ascii="仿宋_GB2312" w:hAnsi="宋体" w:eastAsia="仿宋_GB2312"/>
          <w:b w:val="0"/>
          <w:bCs w:val="0"/>
          <w:sz w:val="28"/>
          <w:szCs w:val="28"/>
        </w:rPr>
      </w:pPr>
      <w:r>
        <w:rPr>
          <w:rFonts w:hint="eastAsia" w:ascii="仿宋_GB2312" w:hAnsi="宋体" w:eastAsia="仿宋_GB2312"/>
          <w:b w:val="0"/>
          <w:bCs w:val="0"/>
          <w:sz w:val="28"/>
          <w:szCs w:val="28"/>
        </w:rPr>
        <w:t>2、委托代理人身份证复印件（若委托代理人开标）；</w:t>
      </w:r>
    </w:p>
    <w:p>
      <w:pPr>
        <w:pStyle w:val="12"/>
        <w:shd w:val="clear" w:color="auto" w:fill="FFFFFF"/>
        <w:spacing w:beforeAutospacing="0" w:afterAutospacing="0" w:line="555" w:lineRule="atLeast"/>
        <w:ind w:firstLine="560" w:firstLineChars="200"/>
        <w:rPr>
          <w:rFonts w:ascii="仿宋_GB2312" w:hAnsi="宋体" w:eastAsia="仿宋_GB2312"/>
          <w:b w:val="0"/>
          <w:bCs w:val="0"/>
          <w:sz w:val="28"/>
          <w:szCs w:val="28"/>
        </w:rPr>
      </w:pPr>
      <w:r>
        <w:rPr>
          <w:rFonts w:hint="eastAsia" w:ascii="仿宋_GB2312" w:hAnsi="宋体" w:eastAsia="仿宋_GB2312"/>
          <w:b w:val="0"/>
          <w:bCs w:val="0"/>
          <w:sz w:val="28"/>
          <w:szCs w:val="28"/>
        </w:rPr>
        <w:t>3、法定代表人身份证复印件；</w:t>
      </w:r>
    </w:p>
    <w:p>
      <w:pPr>
        <w:pStyle w:val="12"/>
        <w:shd w:val="clear" w:color="auto" w:fill="FFFFFF"/>
        <w:spacing w:beforeAutospacing="0" w:afterAutospacing="0" w:line="555" w:lineRule="atLeast"/>
        <w:ind w:firstLine="560" w:firstLineChars="200"/>
        <w:rPr>
          <w:rFonts w:ascii="仿宋_GB2312" w:hAnsi="宋体" w:eastAsia="仿宋_GB2312"/>
          <w:b w:val="0"/>
          <w:bCs w:val="0"/>
          <w:sz w:val="28"/>
          <w:szCs w:val="28"/>
          <w:highlight w:val="red"/>
        </w:rPr>
      </w:pPr>
      <w:r>
        <w:rPr>
          <w:rFonts w:hint="eastAsia" w:ascii="仿宋_GB2312" w:hAnsi="宋体" w:eastAsia="仿宋_GB2312"/>
          <w:b w:val="0"/>
          <w:bCs w:val="0"/>
          <w:sz w:val="28"/>
          <w:szCs w:val="28"/>
        </w:rPr>
        <w:t>4、企业营业执照复印件；</w:t>
      </w:r>
    </w:p>
    <w:p>
      <w:pPr>
        <w:pStyle w:val="12"/>
        <w:shd w:val="clear" w:color="auto" w:fill="FFFFFF"/>
        <w:spacing w:beforeAutospacing="0" w:afterAutospacing="0" w:line="555" w:lineRule="atLeast"/>
        <w:ind w:firstLine="560" w:firstLineChars="200"/>
        <w:rPr>
          <w:rFonts w:hint="eastAsia" w:ascii="仿宋_GB2312" w:hAnsi="宋体" w:eastAsia="仿宋_GB2312"/>
          <w:b w:val="0"/>
          <w:bCs w:val="0"/>
          <w:sz w:val="28"/>
          <w:szCs w:val="28"/>
          <w:lang w:eastAsia="zh-CN"/>
        </w:rPr>
      </w:pPr>
      <w:r>
        <w:rPr>
          <w:rFonts w:hint="eastAsia" w:ascii="仿宋_GB2312" w:hAnsi="宋体" w:eastAsia="仿宋_GB2312"/>
          <w:b w:val="0"/>
          <w:bCs w:val="0"/>
          <w:sz w:val="28"/>
          <w:szCs w:val="28"/>
        </w:rPr>
        <w:t>5、</w:t>
      </w:r>
      <w:r>
        <w:rPr>
          <w:rFonts w:hint="eastAsia" w:ascii="仿宋_GB2312" w:hAnsi="宋体" w:eastAsia="仿宋_GB2312"/>
          <w:b w:val="0"/>
          <w:bCs w:val="0"/>
          <w:sz w:val="28"/>
          <w:szCs w:val="28"/>
          <w:lang w:eastAsia="zh-CN"/>
        </w:rPr>
        <w:t>技术方案；</w:t>
      </w:r>
    </w:p>
    <w:p>
      <w:pPr>
        <w:pStyle w:val="12"/>
        <w:shd w:val="clear" w:color="auto" w:fill="FFFFFF"/>
        <w:spacing w:beforeAutospacing="0" w:afterAutospacing="0" w:line="555" w:lineRule="atLeast"/>
        <w:ind w:firstLine="560" w:firstLineChars="200"/>
        <w:rPr>
          <w:rFonts w:hint="eastAsia" w:ascii="仿宋_GB2312" w:hAnsi="宋体" w:eastAsia="仿宋_GB2312"/>
          <w:b w:val="0"/>
          <w:bCs w:val="0"/>
          <w:sz w:val="28"/>
          <w:szCs w:val="28"/>
        </w:rPr>
      </w:pPr>
      <w:r>
        <w:rPr>
          <w:rFonts w:hint="eastAsia" w:ascii="仿宋_GB2312" w:hAnsi="宋体" w:eastAsia="仿宋_GB2312"/>
          <w:b w:val="0"/>
          <w:bCs w:val="0"/>
          <w:sz w:val="28"/>
          <w:szCs w:val="28"/>
          <w:lang w:val="en-US" w:eastAsia="zh-CN"/>
        </w:rPr>
        <w:t>6、</w:t>
      </w:r>
      <w:r>
        <w:rPr>
          <w:rFonts w:hint="eastAsia" w:ascii="仿宋_GB2312" w:hAnsi="宋体" w:eastAsia="仿宋_GB2312"/>
          <w:b w:val="0"/>
          <w:bCs w:val="0"/>
          <w:sz w:val="28"/>
          <w:szCs w:val="28"/>
        </w:rPr>
        <w:t>报价清单（格式按照招标文件提供的格式编制）；</w:t>
      </w:r>
    </w:p>
    <w:p>
      <w:pPr>
        <w:pStyle w:val="12"/>
        <w:shd w:val="clear" w:color="auto" w:fill="FFFFFF"/>
        <w:spacing w:beforeAutospacing="0" w:afterAutospacing="0" w:line="555" w:lineRule="atLeast"/>
        <w:ind w:firstLine="560" w:firstLineChars="200"/>
        <w:rPr>
          <w:rFonts w:hint="eastAsia" w:ascii="仿宋_GB2312" w:hAnsi="宋体" w:eastAsia="仿宋_GB2312"/>
          <w:b w:val="0"/>
          <w:bCs w:val="0"/>
          <w:sz w:val="28"/>
          <w:szCs w:val="28"/>
          <w:lang w:val="en-US" w:eastAsia="zh-CN"/>
        </w:rPr>
      </w:pPr>
      <w:r>
        <w:rPr>
          <w:rFonts w:hint="eastAsia" w:ascii="仿宋_GB2312" w:hAnsi="宋体" w:eastAsia="仿宋_GB2312"/>
          <w:b w:val="0"/>
          <w:bCs w:val="0"/>
          <w:sz w:val="28"/>
          <w:szCs w:val="28"/>
          <w:lang w:val="en-US" w:eastAsia="zh-CN"/>
        </w:rPr>
        <w:t>7、投标人人认为的其他应附资料。</w:t>
      </w:r>
    </w:p>
    <w:p>
      <w:pPr>
        <w:pStyle w:val="12"/>
        <w:shd w:val="clear" w:color="auto" w:fill="FFFFFF"/>
        <w:spacing w:beforeAutospacing="0" w:afterAutospacing="0" w:line="555" w:lineRule="atLeast"/>
        <w:ind w:firstLine="620" w:firstLineChars="200"/>
        <w:rPr>
          <w:rFonts w:ascii="微软雅黑" w:hAnsi="微软雅黑" w:eastAsia="微软雅黑" w:cs="微软雅黑"/>
          <w:b w:val="0"/>
          <w:bCs w:val="0"/>
          <w:color w:val="000000"/>
          <w:sz w:val="21"/>
          <w:szCs w:val="21"/>
        </w:rPr>
      </w:pPr>
      <w:r>
        <w:rPr>
          <w:rFonts w:hint="eastAsia" w:ascii="仿宋_GB2312" w:hAnsi="微软雅黑" w:eastAsia="仿宋_GB2312" w:cs="仿宋_GB2312"/>
          <w:b w:val="0"/>
          <w:bCs w:val="0"/>
          <w:color w:val="000000"/>
          <w:sz w:val="31"/>
          <w:szCs w:val="31"/>
          <w:shd w:val="clear" w:color="auto" w:fill="FFFFFF"/>
          <w:lang w:val="en-US" w:eastAsia="zh-CN"/>
        </w:rPr>
        <w:t>8</w:t>
      </w:r>
      <w:r>
        <w:rPr>
          <w:rFonts w:hint="eastAsia" w:ascii="仿宋_GB2312" w:hAnsi="微软雅黑" w:eastAsia="仿宋_GB2312" w:cs="仿宋_GB2312"/>
          <w:b w:val="0"/>
          <w:bCs w:val="0"/>
          <w:color w:val="000000"/>
          <w:sz w:val="31"/>
          <w:szCs w:val="31"/>
          <w:shd w:val="clear" w:color="auto" w:fill="FFFFFF"/>
        </w:rPr>
        <w:t>、</w:t>
      </w:r>
      <w:r>
        <w:rPr>
          <w:rFonts w:ascii="仿宋_GB2312" w:hAnsi="宋体" w:eastAsia="仿宋_GB2312"/>
          <w:b w:val="0"/>
          <w:bCs w:val="0"/>
          <w:sz w:val="28"/>
          <w:szCs w:val="28"/>
        </w:rPr>
        <w:t>以上资料</w:t>
      </w:r>
      <w:r>
        <w:rPr>
          <w:rFonts w:hint="eastAsia" w:ascii="仿宋_GB2312" w:hAnsi="宋体" w:eastAsia="仿宋_GB2312"/>
          <w:b w:val="0"/>
          <w:bCs w:val="0"/>
          <w:sz w:val="28"/>
          <w:szCs w:val="28"/>
        </w:rPr>
        <w:t>均须</w:t>
      </w:r>
      <w:r>
        <w:rPr>
          <w:rFonts w:ascii="仿宋_GB2312" w:hAnsi="宋体" w:eastAsia="仿宋_GB2312"/>
          <w:b w:val="0"/>
          <w:bCs w:val="0"/>
          <w:sz w:val="28"/>
          <w:szCs w:val="28"/>
        </w:rPr>
        <w:t>加盖公章</w:t>
      </w:r>
      <w:r>
        <w:rPr>
          <w:rFonts w:hint="eastAsia" w:ascii="仿宋_GB2312" w:hAnsi="宋体" w:eastAsia="仿宋_GB2312"/>
          <w:b w:val="0"/>
          <w:bCs w:val="0"/>
          <w:sz w:val="28"/>
          <w:szCs w:val="28"/>
        </w:rPr>
        <w:t>且</w:t>
      </w:r>
      <w:r>
        <w:rPr>
          <w:rFonts w:ascii="仿宋_GB2312" w:hAnsi="宋体" w:eastAsia="仿宋_GB2312"/>
          <w:b w:val="0"/>
          <w:bCs w:val="0"/>
          <w:sz w:val="28"/>
          <w:szCs w:val="28"/>
        </w:rPr>
        <w:t>必须密封并加盖密封章</w:t>
      </w:r>
      <w:r>
        <w:rPr>
          <w:rFonts w:hint="eastAsia" w:ascii="仿宋_GB2312" w:hAnsi="宋体" w:eastAsia="仿宋_GB2312"/>
          <w:b w:val="0"/>
          <w:bCs w:val="0"/>
          <w:sz w:val="28"/>
          <w:szCs w:val="28"/>
        </w:rPr>
        <w:t>。</w:t>
      </w:r>
    </w:p>
    <w:p>
      <w:pPr>
        <w:pStyle w:val="12"/>
        <w:shd w:val="clear" w:color="auto" w:fill="FFFFFF"/>
        <w:spacing w:beforeAutospacing="0" w:afterAutospacing="0" w:line="555" w:lineRule="atLeast"/>
        <w:ind w:firstLine="645"/>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（三）投送方式：报价人的法定代表人或授权代表持报价文件现场投送。（</w:t>
      </w:r>
      <w:r>
        <w:rPr>
          <w:rFonts w:hint="eastAsia" w:ascii="仿宋_GB2312" w:hAnsi="微软雅黑" w:eastAsia="仿宋_GB2312" w:cs="仿宋_GB2312"/>
          <w:color w:val="000000"/>
          <w:sz w:val="31"/>
          <w:szCs w:val="31"/>
          <w:shd w:val="clear" w:color="auto" w:fill="FFFFFF"/>
        </w:rPr>
        <w:t>开标</w:t>
      </w:r>
      <w:r>
        <w:rPr>
          <w:rFonts w:ascii="仿宋_GB2312" w:hAnsi="微软雅黑" w:eastAsia="仿宋_GB2312" w:cs="仿宋_GB2312"/>
          <w:color w:val="000000"/>
          <w:sz w:val="31"/>
          <w:szCs w:val="31"/>
          <w:shd w:val="clear" w:color="auto" w:fill="FFFFFF"/>
        </w:rPr>
        <w:t>地址：</w:t>
      </w:r>
      <w:r>
        <w:rPr>
          <w:rFonts w:hint="eastAsia" w:ascii="仿宋_GB2312" w:hAnsi="微软雅黑" w:eastAsia="仿宋_GB2312" w:cs="仿宋_GB2312"/>
          <w:color w:val="000000"/>
          <w:sz w:val="31"/>
          <w:szCs w:val="31"/>
          <w:shd w:val="clear" w:color="auto" w:fill="FFFFFF"/>
        </w:rPr>
        <w:t xml:space="preserve"> 罗江区雨村东路北段14号（原国土资源局）</w:t>
      </w:r>
      <w:r>
        <w:rPr>
          <w:rFonts w:ascii="仿宋_GB2312" w:hAnsi="微软雅黑" w:eastAsia="仿宋_GB2312" w:cs="仿宋_GB2312"/>
          <w:color w:val="000000"/>
          <w:sz w:val="31"/>
          <w:szCs w:val="31"/>
          <w:shd w:val="clear" w:color="auto" w:fill="FFFFFF"/>
        </w:rPr>
        <w:t>，</w:t>
      </w:r>
      <w:r>
        <w:rPr>
          <w:rFonts w:hint="eastAsia" w:ascii="仿宋_GB2312" w:hAnsi="微软雅黑" w:eastAsia="仿宋_GB2312" w:cs="仿宋_GB2312"/>
          <w:color w:val="000000"/>
          <w:sz w:val="31"/>
          <w:szCs w:val="31"/>
          <w:shd w:val="clear" w:color="auto" w:fill="FFFFFF"/>
        </w:rPr>
        <w:t>四川纹江致远建筑开发工程有限公司二楼会议室</w:t>
      </w:r>
      <w:r>
        <w:rPr>
          <w:rFonts w:ascii="仿宋_GB2312" w:hAnsi="微软雅黑" w:eastAsia="仿宋_GB2312" w:cs="仿宋_GB2312"/>
          <w:color w:val="000000"/>
          <w:sz w:val="31"/>
          <w:szCs w:val="31"/>
          <w:shd w:val="clear" w:color="auto" w:fill="FFFFFF"/>
        </w:rPr>
        <w:t>）</w:t>
      </w:r>
    </w:p>
    <w:p>
      <w:pPr>
        <w:spacing w:line="360" w:lineRule="auto"/>
        <w:ind w:firstLine="934" w:firstLineChars="300"/>
        <w:rPr>
          <w:rFonts w:ascii="仿宋" w:hAnsi="仿宋" w:eastAsia="仿宋" w:cs="仿宋"/>
          <w:sz w:val="27"/>
          <w:szCs w:val="27"/>
        </w:rPr>
      </w:pPr>
      <w:r>
        <w:rPr>
          <w:rFonts w:hint="eastAsia" w:ascii="仿宋_GB2312" w:hAnsi="微软雅黑" w:eastAsia="仿宋_GB2312" w:cs="仿宋_GB2312"/>
          <w:b/>
          <w:bCs/>
          <w:color w:val="000000"/>
          <w:sz w:val="31"/>
          <w:szCs w:val="31"/>
          <w:shd w:val="clear" w:color="auto" w:fill="FFFFFF"/>
        </w:rPr>
        <w:t>十、投标保证金：（1）金额：</w:t>
      </w:r>
      <w:r>
        <w:rPr>
          <w:rFonts w:hint="eastAsia" w:ascii="仿宋_GB2312" w:hAnsi="微软雅黑" w:eastAsia="仿宋_GB2312" w:cs="仿宋_GB2312"/>
          <w:b/>
          <w:bCs/>
          <w:color w:val="000000"/>
          <w:sz w:val="31"/>
          <w:szCs w:val="31"/>
          <w:highlight w:val="red"/>
          <w:u w:val="single"/>
          <w:shd w:val="clear" w:color="auto" w:fill="FFFFFF"/>
          <w:lang w:val="en-US" w:eastAsia="zh-CN"/>
        </w:rPr>
        <w:t>5000</w:t>
      </w:r>
      <w:r>
        <w:rPr>
          <w:rFonts w:hint="eastAsia" w:ascii="仿宋_GB2312" w:hAnsi="微软雅黑" w:eastAsia="仿宋_GB2312" w:cs="仿宋_GB2312"/>
          <w:b/>
          <w:bCs/>
          <w:color w:val="000000"/>
          <w:sz w:val="31"/>
          <w:szCs w:val="31"/>
          <w:u w:val="single"/>
          <w:shd w:val="clear" w:color="auto" w:fill="FFFFFF"/>
        </w:rPr>
        <w:t>元（投标保证金缴纳截止时间：2022年5月</w:t>
      </w:r>
      <w:r>
        <w:rPr>
          <w:rFonts w:hint="eastAsia" w:ascii="仿宋_GB2312" w:hAnsi="微软雅黑" w:eastAsia="仿宋_GB2312" w:cs="仿宋_GB2312"/>
          <w:b/>
          <w:bCs/>
          <w:color w:val="000000"/>
          <w:sz w:val="31"/>
          <w:szCs w:val="31"/>
          <w:u w:val="single"/>
          <w:shd w:val="clear" w:color="auto" w:fill="FFFFFF"/>
          <w:lang w:val="en-US" w:eastAsia="zh-CN"/>
        </w:rPr>
        <w:t>30</w:t>
      </w:r>
      <w:r>
        <w:rPr>
          <w:rFonts w:hint="eastAsia" w:ascii="仿宋_GB2312" w:hAnsi="微软雅黑" w:eastAsia="仿宋_GB2312" w:cs="仿宋_GB2312"/>
          <w:b/>
          <w:bCs/>
          <w:color w:val="000000"/>
          <w:sz w:val="31"/>
          <w:szCs w:val="31"/>
          <w:u w:val="single"/>
          <w:shd w:val="clear" w:color="auto" w:fill="FFFFFF"/>
        </w:rPr>
        <w:t>日1</w:t>
      </w:r>
      <w:r>
        <w:rPr>
          <w:rFonts w:hint="eastAsia" w:ascii="仿宋_GB2312" w:hAnsi="微软雅黑" w:eastAsia="仿宋_GB2312" w:cs="仿宋_GB2312"/>
          <w:b/>
          <w:bCs/>
          <w:color w:val="000000"/>
          <w:sz w:val="31"/>
          <w:szCs w:val="31"/>
          <w:u w:val="single"/>
          <w:shd w:val="clear" w:color="auto" w:fill="FFFFFF"/>
          <w:lang w:val="en-US" w:eastAsia="zh-CN"/>
        </w:rPr>
        <w:t>3</w:t>
      </w:r>
      <w:r>
        <w:rPr>
          <w:rFonts w:hint="eastAsia" w:ascii="仿宋_GB2312" w:hAnsi="微软雅黑" w:eastAsia="仿宋_GB2312" w:cs="仿宋_GB2312"/>
          <w:b/>
          <w:bCs/>
          <w:color w:val="000000"/>
          <w:sz w:val="31"/>
          <w:szCs w:val="31"/>
          <w:u w:val="single"/>
          <w:shd w:val="clear" w:color="auto" w:fill="FFFFFF"/>
        </w:rPr>
        <w:t>时</w:t>
      </w:r>
      <w:r>
        <w:rPr>
          <w:rFonts w:hint="eastAsia" w:ascii="仿宋_GB2312" w:hAnsi="微软雅黑" w:eastAsia="仿宋_GB2312" w:cs="仿宋_GB2312"/>
          <w:b/>
          <w:bCs/>
          <w:color w:val="000000"/>
          <w:sz w:val="31"/>
          <w:szCs w:val="31"/>
          <w:u w:val="single"/>
          <w:shd w:val="clear" w:color="auto" w:fill="FFFFFF"/>
          <w:lang w:val="en-US" w:eastAsia="zh-CN"/>
        </w:rPr>
        <w:t>3</w:t>
      </w:r>
      <w:r>
        <w:rPr>
          <w:rFonts w:hint="eastAsia" w:ascii="仿宋_GB2312" w:hAnsi="微软雅黑" w:eastAsia="仿宋_GB2312" w:cs="仿宋_GB2312"/>
          <w:b/>
          <w:bCs/>
          <w:color w:val="000000"/>
          <w:sz w:val="31"/>
          <w:szCs w:val="31"/>
          <w:u w:val="single"/>
          <w:shd w:val="clear" w:color="auto" w:fill="FFFFFF"/>
        </w:rPr>
        <w:t>0分00秒）。</w:t>
      </w:r>
      <w:r>
        <w:rPr>
          <w:rFonts w:hint="eastAsia" w:ascii="仿宋_GB2312" w:hAnsi="微软雅黑" w:eastAsia="仿宋_GB2312" w:cs="仿宋_GB2312"/>
          <w:b/>
          <w:bCs/>
          <w:color w:val="000000"/>
          <w:sz w:val="31"/>
          <w:szCs w:val="31"/>
          <w:shd w:val="clear" w:color="auto" w:fill="FFFFFF"/>
          <w:lang w:bidi="ar"/>
        </w:rPr>
        <w:t>（2）缴纳至四川纹江致远建筑开发工程有限公司，开户行： 四川罗江农村商业银行股份有限公司 ，账号：88060120003104643。</w:t>
      </w:r>
    </w:p>
    <w:p>
      <w:pPr>
        <w:pStyle w:val="12"/>
        <w:shd w:val="clear" w:color="auto" w:fill="FFFFFF"/>
        <w:spacing w:beforeAutospacing="0" w:afterAutospacing="0" w:line="555" w:lineRule="atLeast"/>
        <w:ind w:firstLine="645"/>
        <w:rPr>
          <w:rFonts w:ascii="仿宋_GB2312" w:hAnsi="微软雅黑" w:eastAsia="仿宋_GB2312" w:cs="仿宋_GB2312"/>
          <w:color w:val="000000"/>
          <w:sz w:val="31"/>
          <w:szCs w:val="31"/>
          <w:u w:val="single"/>
          <w:shd w:val="clear" w:color="auto" w:fill="FFFFFF"/>
        </w:rPr>
      </w:pPr>
      <w:r>
        <w:rPr>
          <w:rFonts w:hint="eastAsia" w:ascii="仿宋_GB2312" w:hAnsi="微软雅黑" w:eastAsia="仿宋_GB2312" w:cs="仿宋_GB2312"/>
          <w:color w:val="000000"/>
          <w:sz w:val="31"/>
          <w:szCs w:val="31"/>
          <w:shd w:val="clear" w:color="auto" w:fill="FFFFFF"/>
        </w:rPr>
        <w:t>十一</w:t>
      </w:r>
      <w:r>
        <w:rPr>
          <w:rFonts w:hint="eastAsia" w:ascii="仿宋_GB2312" w:hAnsi="微软雅黑" w:eastAsia="仿宋_GB2312" w:cs="仿宋_GB2312"/>
          <w:b/>
          <w:bCs/>
          <w:color w:val="000000"/>
          <w:sz w:val="31"/>
          <w:szCs w:val="31"/>
          <w:shd w:val="clear" w:color="auto" w:fill="FFFFFF"/>
        </w:rPr>
        <w:t>、履约保证金：</w:t>
      </w:r>
      <w:r>
        <w:rPr>
          <w:rFonts w:hint="eastAsia" w:ascii="仿宋_GB2312" w:hAnsi="微软雅黑" w:eastAsia="仿宋_GB2312" w:cs="仿宋_GB2312"/>
          <w:b/>
          <w:bCs/>
          <w:color w:val="000000"/>
          <w:sz w:val="31"/>
          <w:szCs w:val="31"/>
          <w:u w:val="single"/>
          <w:shd w:val="clear" w:color="auto" w:fill="FFFFFF"/>
        </w:rPr>
        <w:t>投标保证金转为履约保证金。</w:t>
      </w:r>
    </w:p>
    <w:p>
      <w:pPr>
        <w:pStyle w:val="12"/>
        <w:shd w:val="clear" w:color="auto" w:fill="FFFFFF"/>
        <w:spacing w:beforeAutospacing="0" w:afterAutospacing="0" w:line="555" w:lineRule="atLeast"/>
        <w:ind w:firstLine="645"/>
        <w:rPr>
          <w:rFonts w:ascii="黑体" w:hAnsi="宋体" w:eastAsia="黑体" w:cs="黑体"/>
          <w:color w:val="000000"/>
          <w:sz w:val="31"/>
          <w:szCs w:val="31"/>
          <w:shd w:val="clear" w:color="auto" w:fill="FFFFFF"/>
        </w:rPr>
      </w:pPr>
      <w:r>
        <w:rPr>
          <w:rFonts w:hint="eastAsia" w:ascii="黑体" w:hAnsi="宋体" w:eastAsia="黑体" w:cs="黑体"/>
          <w:color w:val="000000"/>
          <w:sz w:val="31"/>
          <w:szCs w:val="31"/>
          <w:shd w:val="clear" w:color="auto" w:fill="FFFFFF"/>
        </w:rPr>
        <w:t>十二、控制价：</w:t>
      </w:r>
      <w:r>
        <w:rPr>
          <w:rFonts w:hint="eastAsia" w:ascii="黑体" w:hAnsi="宋体" w:eastAsia="黑体" w:cs="黑体"/>
          <w:color w:val="000000"/>
          <w:sz w:val="31"/>
          <w:szCs w:val="31"/>
          <w:highlight w:val="red"/>
          <w:shd w:val="clear" w:color="auto" w:fill="FFFFFF"/>
          <w:lang w:val="en-US" w:eastAsia="zh-CN"/>
        </w:rPr>
        <w:t xml:space="preserve">  332060 </w:t>
      </w:r>
      <w:r>
        <w:rPr>
          <w:rFonts w:hint="eastAsia" w:ascii="黑体" w:hAnsi="宋体" w:eastAsia="黑体" w:cs="黑体"/>
          <w:color w:val="000000"/>
          <w:sz w:val="31"/>
          <w:szCs w:val="31"/>
          <w:shd w:val="clear" w:color="auto" w:fill="FFFFFF"/>
        </w:rPr>
        <w:t>元（含税</w:t>
      </w:r>
      <w:r>
        <w:rPr>
          <w:rFonts w:hint="eastAsia" w:ascii="黑体" w:hAnsi="宋体" w:eastAsia="黑体" w:cs="黑体"/>
          <w:color w:val="000000"/>
          <w:sz w:val="31"/>
          <w:szCs w:val="31"/>
          <w:shd w:val="clear" w:color="auto" w:fill="FFFFFF"/>
          <w:lang w:val="en-US" w:eastAsia="zh-CN"/>
        </w:rPr>
        <w:t>3%</w:t>
      </w:r>
      <w:r>
        <w:rPr>
          <w:rFonts w:hint="eastAsia" w:ascii="黑体" w:hAnsi="宋体" w:eastAsia="黑体" w:cs="黑体"/>
          <w:color w:val="000000"/>
          <w:sz w:val="31"/>
          <w:szCs w:val="31"/>
          <w:shd w:val="clear" w:color="auto" w:fill="FFFFFF"/>
        </w:rPr>
        <w:t>)。</w:t>
      </w:r>
    </w:p>
    <w:p>
      <w:pPr>
        <w:pStyle w:val="12"/>
        <w:shd w:val="clear" w:color="auto" w:fill="FFFFFF"/>
        <w:spacing w:beforeAutospacing="0" w:afterAutospacing="0" w:line="555" w:lineRule="atLeast"/>
        <w:ind w:firstLine="645"/>
        <w:rPr>
          <w:rFonts w:hint="default" w:ascii="仿宋_GB2312" w:hAnsi="微软雅黑" w:eastAsia="黑体" w:cs="仿宋_GB2312"/>
          <w:color w:val="000000"/>
          <w:sz w:val="31"/>
          <w:szCs w:val="31"/>
          <w:shd w:val="clear" w:color="auto" w:fill="FFFFFF"/>
          <w:lang w:val="en-US" w:eastAsia="zh-CN"/>
        </w:rPr>
      </w:pPr>
      <w:r>
        <w:rPr>
          <w:rFonts w:hint="eastAsia" w:ascii="黑体" w:hAnsi="宋体" w:eastAsia="黑体" w:cs="黑体"/>
          <w:color w:val="000000"/>
          <w:sz w:val="31"/>
          <w:szCs w:val="31"/>
          <w:shd w:val="clear" w:color="auto" w:fill="FFFFFF"/>
        </w:rPr>
        <w:t>十三、定标方式：</w:t>
      </w:r>
      <w:r>
        <w:rPr>
          <w:rFonts w:hint="eastAsia" w:ascii="仿宋_GB2312" w:hAnsi="微软雅黑" w:eastAsia="仿宋_GB2312" w:cs="仿宋_GB2312"/>
          <w:color w:val="000000"/>
          <w:sz w:val="31"/>
          <w:szCs w:val="31"/>
          <w:shd w:val="clear" w:color="auto" w:fill="FFFFFF"/>
          <w:lang w:eastAsia="zh-CN"/>
        </w:rPr>
        <w:t>综合评分法</w:t>
      </w:r>
      <w:r>
        <w:rPr>
          <w:rFonts w:hint="eastAsia" w:ascii="仿宋_GB2312" w:hAnsi="微软雅黑" w:eastAsia="仿宋_GB2312" w:cs="仿宋_GB2312"/>
          <w:color w:val="000000"/>
          <w:sz w:val="31"/>
          <w:szCs w:val="31"/>
          <w:shd w:val="clear" w:color="auto" w:fill="FFFFFF"/>
          <w:lang w:val="en-US" w:eastAsia="zh-CN"/>
        </w:rPr>
        <w:t>(</w:t>
      </w:r>
      <w:r>
        <w:rPr>
          <w:rFonts w:hint="eastAsia" w:ascii="仿宋_GB2312" w:hAnsi="微软雅黑" w:eastAsia="仿宋_GB2312" w:cs="仿宋_GB2312"/>
          <w:color w:val="000000"/>
          <w:sz w:val="31"/>
          <w:szCs w:val="31"/>
          <w:shd w:val="clear" w:color="auto" w:fill="FFFFFF"/>
          <w:lang w:eastAsia="zh-CN"/>
        </w:rPr>
        <w:t>见综合评分表</w:t>
      </w:r>
      <w:r>
        <w:rPr>
          <w:rFonts w:hint="eastAsia" w:ascii="仿宋_GB2312" w:hAnsi="微软雅黑" w:eastAsia="仿宋_GB2312" w:cs="仿宋_GB2312"/>
          <w:color w:val="000000"/>
          <w:sz w:val="31"/>
          <w:szCs w:val="31"/>
          <w:shd w:val="clear" w:color="auto" w:fill="FFFFFF"/>
          <w:lang w:val="en-US" w:eastAsia="zh-CN"/>
        </w:rPr>
        <w:t>)</w:t>
      </w:r>
    </w:p>
    <w:p>
      <w:pPr>
        <w:pStyle w:val="12"/>
        <w:shd w:val="clear" w:color="auto" w:fill="FFFFFF"/>
        <w:spacing w:beforeAutospacing="0" w:afterAutospacing="0" w:line="555" w:lineRule="atLeast"/>
        <w:ind w:firstLine="645"/>
        <w:rPr>
          <w:rFonts w:ascii="微软雅黑" w:hAnsi="微软雅黑" w:eastAsia="仿宋_GB2312" w:cs="微软雅黑"/>
          <w:color w:val="000000"/>
          <w:sz w:val="21"/>
          <w:szCs w:val="21"/>
        </w:rPr>
      </w:pPr>
      <w:r>
        <w:rPr>
          <w:rFonts w:hint="eastAsia" w:ascii="黑体" w:hAnsi="宋体" w:eastAsia="黑体" w:cs="黑体"/>
          <w:color w:val="000000"/>
          <w:sz w:val="31"/>
          <w:szCs w:val="31"/>
          <w:shd w:val="clear" w:color="auto" w:fill="FFFFFF"/>
        </w:rPr>
        <w:t>十四、联 系 人</w:t>
      </w:r>
      <w:r>
        <w:rPr>
          <w:rFonts w:hint="eastAsia" w:ascii="黑体" w:hAnsi="宋体" w:eastAsia="黑体" w:cs="黑体"/>
          <w:color w:val="000000"/>
          <w:sz w:val="28"/>
          <w:szCs w:val="28"/>
          <w:shd w:val="clear" w:color="auto" w:fill="FFFFFF"/>
        </w:rPr>
        <w:t>：</w:t>
      </w:r>
      <w:r>
        <w:rPr>
          <w:rFonts w:hint="eastAsia" w:ascii="仿宋_GB2312" w:hAnsi="微软雅黑" w:eastAsia="仿宋_GB2312" w:cs="仿宋_GB2312"/>
          <w:color w:val="000000"/>
          <w:sz w:val="31"/>
          <w:szCs w:val="31"/>
          <w:shd w:val="clear" w:color="auto" w:fill="FFFFFF"/>
        </w:rPr>
        <w:t>杨女士</w:t>
      </w:r>
      <w:r>
        <w:rPr>
          <w:rFonts w:ascii="仿宋_GB2312" w:hAnsi="微软雅黑" w:eastAsia="仿宋_GB2312" w:cs="仿宋_GB2312"/>
          <w:color w:val="000000"/>
          <w:sz w:val="31"/>
          <w:szCs w:val="31"/>
          <w:shd w:val="clear" w:color="auto" w:fill="FFFFFF"/>
        </w:rPr>
        <w:t>      联系电话：</w:t>
      </w:r>
      <w:r>
        <w:rPr>
          <w:rFonts w:hint="eastAsia" w:ascii="仿宋" w:hAnsi="仿宋" w:eastAsia="仿宋" w:cs="仿宋"/>
          <w:kern w:val="2"/>
          <w:sz w:val="31"/>
          <w:szCs w:val="31"/>
          <w:lang w:bidi="ar"/>
        </w:rPr>
        <w:t>0838-3273277</w:t>
      </w:r>
    </w:p>
    <w:p>
      <w:pPr>
        <w:pStyle w:val="12"/>
        <w:shd w:val="clear" w:color="auto" w:fill="FFFFFF"/>
        <w:spacing w:beforeAutospacing="0" w:afterAutospacing="0" w:line="555" w:lineRule="atLeast"/>
        <w:ind w:firstLine="645"/>
        <w:rPr>
          <w:rFonts w:hint="default" w:ascii="微软雅黑" w:hAnsi="微软雅黑" w:eastAsia="仿宋_GB2312" w:cs="微软雅黑"/>
          <w:color w:val="000000"/>
          <w:sz w:val="21"/>
          <w:szCs w:val="21"/>
          <w:lang w:val="en-US"/>
        </w:rPr>
      </w:pPr>
      <w:r>
        <w:rPr>
          <w:rFonts w:hint="eastAsia" w:ascii="黑体" w:hAnsi="宋体" w:eastAsia="黑体" w:cs="黑体"/>
          <w:color w:val="000000"/>
          <w:sz w:val="31"/>
          <w:szCs w:val="31"/>
          <w:shd w:val="clear" w:color="auto" w:fill="FFFFFF"/>
        </w:rPr>
        <w:t>十</w:t>
      </w:r>
      <w:r>
        <w:rPr>
          <w:rFonts w:hint="eastAsia" w:ascii="黑体" w:hAnsi="宋体" w:eastAsia="黑体" w:cs="黑体"/>
          <w:color w:val="000000"/>
          <w:sz w:val="31"/>
          <w:szCs w:val="31"/>
          <w:shd w:val="clear" w:color="auto" w:fill="FFFFFF"/>
          <w:lang w:eastAsia="zh-CN"/>
        </w:rPr>
        <w:t>五</w:t>
      </w:r>
      <w:r>
        <w:rPr>
          <w:rFonts w:hint="eastAsia" w:ascii="黑体" w:hAnsi="宋体" w:eastAsia="黑体" w:cs="黑体"/>
          <w:color w:val="000000"/>
          <w:sz w:val="31"/>
          <w:szCs w:val="31"/>
          <w:shd w:val="clear" w:color="auto" w:fill="FFFFFF"/>
        </w:rPr>
        <w:t>、</w:t>
      </w:r>
      <w:r>
        <w:rPr>
          <w:rFonts w:hint="eastAsia" w:ascii="黑体" w:hAnsi="宋体" w:eastAsia="黑体" w:cs="黑体"/>
          <w:color w:val="000000"/>
          <w:sz w:val="31"/>
          <w:szCs w:val="31"/>
          <w:shd w:val="clear" w:color="auto" w:fill="FFFFFF"/>
          <w:lang w:eastAsia="zh-CN"/>
        </w:rPr>
        <w:t>合同</w:t>
      </w:r>
      <w:r>
        <w:rPr>
          <w:rFonts w:hint="eastAsia" w:ascii="黑体" w:hAnsi="宋体" w:eastAsia="黑体" w:cs="黑体"/>
          <w:color w:val="000000"/>
          <w:sz w:val="31"/>
          <w:szCs w:val="31"/>
          <w:shd w:val="clear" w:color="auto" w:fill="FFFFFF"/>
          <w:lang w:val="en-US" w:eastAsia="zh-CN"/>
        </w:rPr>
        <w:t xml:space="preserve"> 见附件1</w:t>
      </w:r>
    </w:p>
    <w:p>
      <w:pPr>
        <w:jc w:val="both"/>
        <w:rPr>
          <w:rFonts w:ascii="仿宋_GB2312" w:hAnsi="宋体" w:eastAsia="仿宋_GB2312"/>
          <w:sz w:val="28"/>
          <w:szCs w:val="28"/>
        </w:rPr>
      </w:pPr>
    </w:p>
    <w:p>
      <w:pPr>
        <w:jc w:val="both"/>
        <w:rPr>
          <w:rFonts w:hint="eastAsia" w:ascii="仿宋_GB2312" w:hAnsi="宋体" w:eastAsia="仿宋_GB2312"/>
          <w:sz w:val="28"/>
          <w:szCs w:val="28"/>
        </w:rPr>
      </w:pPr>
      <w:r>
        <w:rPr>
          <w:rFonts w:hint="eastAsia" w:ascii="仿宋_GB2312" w:hAnsi="宋体" w:eastAsia="仿宋_GB2312"/>
          <w:sz w:val="28"/>
          <w:szCs w:val="28"/>
        </w:rPr>
        <w:t>附：报价清单</w:t>
      </w:r>
      <w:r>
        <w:rPr>
          <w:rFonts w:hint="eastAsia" w:ascii="仿宋_GB2312" w:hAnsi="宋体" w:eastAsia="仿宋_GB2312"/>
          <w:sz w:val="28"/>
          <w:szCs w:val="28"/>
          <w:lang w:val="en-US" w:eastAsia="zh-CN"/>
        </w:rPr>
        <w:t>及</w:t>
      </w:r>
      <w:r>
        <w:rPr>
          <w:rFonts w:hint="eastAsia" w:ascii="仿宋_GB2312" w:hAnsi="宋体" w:eastAsia="仿宋_GB2312"/>
          <w:sz w:val="28"/>
          <w:szCs w:val="28"/>
          <w:lang w:eastAsia="zh-CN"/>
        </w:rPr>
        <w:t>服务清单</w:t>
      </w:r>
    </w:p>
    <w:p>
      <w:pPr>
        <w:jc w:val="both"/>
        <w:rPr>
          <w:rFonts w:hint="eastAsia" w:ascii="仿宋_GB2312" w:hAnsi="宋体" w:eastAsia="仿宋_GB2312"/>
          <w:sz w:val="28"/>
          <w:szCs w:val="28"/>
        </w:rPr>
      </w:pPr>
    </w:p>
    <w:p>
      <w:pPr>
        <w:widowControl/>
        <w:jc w:val="center"/>
        <w:rPr>
          <w:rFonts w:ascii="宋体" w:hAnsi="宋体"/>
          <w:sz w:val="28"/>
          <w:szCs w:val="28"/>
        </w:rPr>
      </w:pPr>
      <w:r>
        <w:rPr>
          <w:rFonts w:hint="eastAsia" w:ascii="宋体" w:hAnsi="宋体"/>
          <w:sz w:val="28"/>
          <w:szCs w:val="28"/>
        </w:rPr>
        <w:t>综合评分表</w:t>
      </w:r>
    </w:p>
    <w:p>
      <w:pPr>
        <w:pStyle w:val="2"/>
        <w:rPr>
          <w:rFonts w:hint="eastAsia"/>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4"/>
        <w:gridCol w:w="709"/>
        <w:gridCol w:w="5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rPr>
                <w:rFonts w:ascii="宋体" w:hAnsi="宋体"/>
              </w:rPr>
            </w:pPr>
            <w:r>
              <w:rPr>
                <w:rFonts w:hint="eastAsia" w:ascii="新宋体" w:hAnsi="新宋体" w:eastAsia="新宋体" w:cs="宋体"/>
                <w:color w:val="000000"/>
                <w:kern w:val="0"/>
              </w:rPr>
              <w:t>序号</w:t>
            </w:r>
          </w:p>
        </w:tc>
        <w:tc>
          <w:tcPr>
            <w:tcW w:w="1275" w:type="dxa"/>
            <w:vAlign w:val="center"/>
          </w:tcPr>
          <w:p>
            <w:pPr>
              <w:widowControl/>
              <w:jc w:val="center"/>
              <w:rPr>
                <w:rFonts w:ascii="宋体" w:hAnsi="宋体"/>
              </w:rPr>
            </w:pPr>
            <w:r>
              <w:rPr>
                <w:rFonts w:hint="eastAsia" w:ascii="新宋体" w:hAnsi="新宋体" w:eastAsia="新宋体" w:cs="宋体"/>
                <w:color w:val="000000"/>
                <w:kern w:val="0"/>
              </w:rPr>
              <w:t>评分因素及权重</w:t>
            </w:r>
          </w:p>
        </w:tc>
        <w:tc>
          <w:tcPr>
            <w:tcW w:w="709" w:type="dxa"/>
            <w:vAlign w:val="center"/>
          </w:tcPr>
          <w:p>
            <w:pPr>
              <w:widowControl/>
              <w:jc w:val="center"/>
              <w:rPr>
                <w:rFonts w:ascii="宋体" w:hAnsi="宋体"/>
              </w:rPr>
            </w:pPr>
            <w:r>
              <w:rPr>
                <w:rFonts w:hint="eastAsia" w:ascii="新宋体" w:hAnsi="新宋体" w:eastAsia="新宋体" w:cs="宋体"/>
                <w:color w:val="000000"/>
                <w:kern w:val="0"/>
              </w:rPr>
              <w:t>分值</w:t>
            </w:r>
          </w:p>
        </w:tc>
        <w:tc>
          <w:tcPr>
            <w:tcW w:w="5721" w:type="dxa"/>
            <w:vAlign w:val="center"/>
          </w:tcPr>
          <w:p>
            <w:pPr>
              <w:widowControl/>
              <w:jc w:val="center"/>
              <w:rPr>
                <w:rFonts w:ascii="宋体" w:hAnsi="宋体"/>
              </w:rPr>
            </w:pPr>
            <w:r>
              <w:rPr>
                <w:rFonts w:hint="eastAsia" w:ascii="新宋体" w:hAnsi="新宋体" w:eastAsia="新宋体" w:cs="宋体"/>
                <w:color w:val="000000"/>
                <w:kern w:val="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817" w:type="dxa"/>
            <w:vAlign w:val="center"/>
          </w:tcPr>
          <w:p>
            <w:pPr>
              <w:widowControl/>
              <w:jc w:val="center"/>
              <w:rPr>
                <w:rFonts w:ascii="宋体" w:hAnsi="宋体"/>
              </w:rPr>
            </w:pPr>
            <w:r>
              <w:rPr>
                <w:rFonts w:hint="eastAsia" w:ascii="宋体" w:hAnsi="宋体"/>
              </w:rPr>
              <w:t>1</w:t>
            </w:r>
          </w:p>
        </w:tc>
        <w:tc>
          <w:tcPr>
            <w:tcW w:w="1275" w:type="dxa"/>
            <w:vAlign w:val="center"/>
          </w:tcPr>
          <w:p>
            <w:pPr>
              <w:widowControl/>
              <w:jc w:val="center"/>
              <w:rPr>
                <w:rFonts w:ascii="新宋体" w:hAnsi="新宋体" w:eastAsia="新宋体" w:cs="宋体"/>
                <w:color w:val="000000"/>
                <w:kern w:val="0"/>
              </w:rPr>
            </w:pPr>
            <w:r>
              <w:rPr>
                <w:rFonts w:hint="eastAsia" w:ascii="新宋体" w:hAnsi="新宋体" w:eastAsia="新宋体" w:cs="宋体"/>
                <w:color w:val="000000"/>
                <w:kern w:val="0"/>
              </w:rPr>
              <w:t>报价</w:t>
            </w:r>
            <w:r>
              <w:rPr>
                <w:rFonts w:ascii="新宋体" w:hAnsi="新宋体" w:eastAsia="新宋体" w:cs="宋体"/>
                <w:color w:val="000000"/>
                <w:kern w:val="0"/>
              </w:rPr>
              <w:t xml:space="preserve"> </w:t>
            </w:r>
          </w:p>
        </w:tc>
        <w:tc>
          <w:tcPr>
            <w:tcW w:w="709" w:type="dxa"/>
            <w:vAlign w:val="center"/>
          </w:tcPr>
          <w:p>
            <w:pPr>
              <w:widowControl/>
              <w:jc w:val="center"/>
              <w:rPr>
                <w:rFonts w:hint="default"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60</w:t>
            </w:r>
          </w:p>
        </w:tc>
        <w:tc>
          <w:tcPr>
            <w:tcW w:w="5721" w:type="dxa"/>
            <w:vAlign w:val="center"/>
          </w:tcPr>
          <w:p>
            <w:pPr>
              <w:widowControl/>
              <w:rPr>
                <w:rFonts w:ascii="宋体" w:hAnsi="宋体"/>
              </w:rPr>
            </w:pPr>
            <w:r>
              <w:rPr>
                <w:rFonts w:ascii="新宋体" w:hAnsi="新宋体" w:eastAsia="新宋体" w:cs="宋体"/>
                <w:color w:val="000000"/>
                <w:kern w:val="0"/>
              </w:rPr>
              <w:t>1</w:t>
            </w:r>
            <w:r>
              <w:rPr>
                <w:rFonts w:hint="eastAsia" w:ascii="新宋体" w:hAnsi="新宋体" w:eastAsia="新宋体" w:cs="宋体"/>
                <w:color w:val="000000"/>
                <w:kern w:val="0"/>
              </w:rPr>
              <w:t>．以满足招标文件要求且投标价格最低的投标报价为基准价，投标报价得分</w:t>
            </w:r>
            <w:r>
              <w:rPr>
                <w:rFonts w:ascii="新宋体" w:hAnsi="新宋体" w:eastAsia="新宋体" w:cs="宋体"/>
                <w:color w:val="000000"/>
                <w:kern w:val="0"/>
              </w:rPr>
              <w:t>=(</w:t>
            </w:r>
            <w:r>
              <w:rPr>
                <w:rFonts w:hint="eastAsia" w:ascii="新宋体" w:hAnsi="新宋体" w:eastAsia="新宋体" w:cs="宋体"/>
                <w:color w:val="000000"/>
                <w:kern w:val="0"/>
              </w:rPr>
              <w:t>基准价／投标报价</w:t>
            </w:r>
            <w:r>
              <w:rPr>
                <w:rFonts w:ascii="新宋体" w:hAnsi="新宋体" w:eastAsia="新宋体" w:cs="宋体"/>
                <w:color w:val="000000"/>
                <w:kern w:val="0"/>
              </w:rPr>
              <w:t>)</w:t>
            </w:r>
            <w:r>
              <w:rPr>
                <w:rFonts w:hint="eastAsia" w:ascii="新宋体" w:hAnsi="新宋体" w:eastAsia="新宋体" w:cs="宋体"/>
                <w:color w:val="000000"/>
                <w:kern w:val="0"/>
              </w:rPr>
              <w:t>×</w:t>
            </w:r>
            <w:r>
              <w:rPr>
                <w:rFonts w:hint="eastAsia" w:ascii="新宋体" w:hAnsi="新宋体" w:eastAsia="新宋体" w:cs="宋体"/>
                <w:color w:val="000000"/>
                <w:kern w:val="0"/>
                <w:highlight w:val="red"/>
                <w:lang w:val="en-US" w:eastAsia="zh-CN"/>
              </w:rPr>
              <w:t>60</w:t>
            </w:r>
            <w:r>
              <w:rPr>
                <w:rFonts w:hint="eastAsia" w:ascii="新宋体" w:hAnsi="新宋体" w:eastAsia="新宋体" w:cs="宋体"/>
                <w:color w:val="000000"/>
                <w:kern w:val="0"/>
              </w:rPr>
              <w:t>（保留两位小数）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817" w:type="dxa"/>
            <w:vAlign w:val="center"/>
          </w:tcPr>
          <w:p>
            <w:pPr>
              <w:widowControl/>
              <w:jc w:val="center"/>
              <w:rPr>
                <w:rFonts w:ascii="宋体" w:hAnsi="宋体"/>
              </w:rPr>
            </w:pPr>
            <w:r>
              <w:rPr>
                <w:rFonts w:hint="eastAsia" w:ascii="宋体" w:hAnsi="宋体"/>
              </w:rPr>
              <w:t>2</w:t>
            </w:r>
          </w:p>
        </w:tc>
        <w:tc>
          <w:tcPr>
            <w:tcW w:w="1275" w:type="dxa"/>
            <w:vAlign w:val="center"/>
          </w:tcPr>
          <w:p>
            <w:pPr>
              <w:widowControl/>
              <w:jc w:val="center"/>
              <w:rPr>
                <w:rFonts w:hint="eastAsia" w:ascii="新宋体" w:hAnsi="新宋体" w:eastAsia="新宋体" w:cs="宋体"/>
                <w:color w:val="000000"/>
                <w:kern w:val="0"/>
                <w:lang w:eastAsia="zh-CN"/>
              </w:rPr>
            </w:pPr>
            <w:r>
              <w:rPr>
                <w:rFonts w:hint="eastAsia" w:ascii="新宋体" w:hAnsi="新宋体" w:eastAsia="新宋体" w:cs="宋体"/>
                <w:color w:val="000000"/>
                <w:kern w:val="0"/>
              </w:rPr>
              <w:t>项目整体技术方案</w:t>
            </w:r>
            <w:r>
              <w:rPr>
                <w:rFonts w:hint="eastAsia" w:ascii="新宋体" w:hAnsi="新宋体" w:eastAsia="新宋体" w:cs="宋体"/>
                <w:color w:val="000000"/>
                <w:kern w:val="0"/>
                <w:lang w:eastAsia="zh-CN"/>
              </w:rPr>
              <w:t>及现场演示</w:t>
            </w:r>
          </w:p>
        </w:tc>
        <w:tc>
          <w:tcPr>
            <w:tcW w:w="709" w:type="dxa"/>
            <w:vAlign w:val="center"/>
          </w:tcPr>
          <w:p>
            <w:pPr>
              <w:widowControl/>
              <w:jc w:val="center"/>
              <w:rPr>
                <w:rFonts w:hint="default"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16</w:t>
            </w:r>
          </w:p>
        </w:tc>
        <w:tc>
          <w:tcPr>
            <w:tcW w:w="5721" w:type="dxa"/>
            <w:vAlign w:val="center"/>
          </w:tcPr>
          <w:p>
            <w:pPr>
              <w:widowControl/>
              <w:rPr>
                <w:rFonts w:hint="eastAsia" w:ascii="新宋体" w:hAnsi="新宋体" w:eastAsia="新宋体"/>
                <w:color w:val="000000"/>
                <w:szCs w:val="21"/>
              </w:rPr>
            </w:pPr>
            <w:r>
              <w:rPr>
                <w:rFonts w:hint="eastAsia" w:ascii="新宋体" w:hAnsi="新宋体" w:eastAsia="新宋体"/>
                <w:color w:val="000000"/>
                <w:szCs w:val="21"/>
              </w:rPr>
              <w:t>针对用户实际情况，对项目建设方案及服务质量进行综合评判。方案（包含：</w:t>
            </w:r>
            <w:r>
              <w:rPr>
                <w:rFonts w:hint="eastAsia" w:ascii="新宋体" w:hAnsi="新宋体" w:eastAsia="新宋体" w:cs="宋体"/>
                <w:color w:val="000000"/>
                <w:kern w:val="0"/>
              </w:rPr>
              <w:t>服务方案，实施方案，验收方法及标准等</w:t>
            </w:r>
            <w:r>
              <w:rPr>
                <w:rFonts w:hint="eastAsia" w:ascii="新宋体" w:hAnsi="新宋体" w:eastAsia="新宋体"/>
                <w:color w:val="000000"/>
                <w:szCs w:val="21"/>
              </w:rPr>
              <w:t>）完整、合理、实用、科学的得</w:t>
            </w:r>
            <w:r>
              <w:rPr>
                <w:rFonts w:hint="eastAsia" w:ascii="新宋体" w:hAnsi="新宋体" w:eastAsia="新宋体"/>
                <w:color w:val="000000"/>
                <w:szCs w:val="21"/>
                <w:lang w:val="en-US" w:eastAsia="zh-CN"/>
              </w:rPr>
              <w:t>6</w:t>
            </w:r>
            <w:r>
              <w:rPr>
                <w:rFonts w:hint="eastAsia" w:ascii="新宋体" w:hAnsi="新宋体" w:eastAsia="新宋体"/>
                <w:color w:val="000000"/>
                <w:szCs w:val="21"/>
              </w:rPr>
              <w:t>分；方案较为完整、合理、实用、科学得</w:t>
            </w:r>
            <w:r>
              <w:rPr>
                <w:rFonts w:hint="eastAsia" w:ascii="新宋体" w:hAnsi="新宋体" w:eastAsia="新宋体"/>
                <w:color w:val="000000"/>
                <w:szCs w:val="21"/>
                <w:lang w:val="en-US" w:eastAsia="zh-CN"/>
              </w:rPr>
              <w:t>4</w:t>
            </w:r>
            <w:r>
              <w:rPr>
                <w:rFonts w:hint="eastAsia" w:ascii="新宋体" w:hAnsi="新宋体" w:eastAsia="新宋体"/>
                <w:color w:val="000000"/>
                <w:szCs w:val="21"/>
              </w:rPr>
              <w:t>分；方案一般、内容基本齐全、基本可行得</w:t>
            </w:r>
            <w:r>
              <w:rPr>
                <w:rFonts w:hint="eastAsia" w:ascii="新宋体" w:hAnsi="新宋体" w:eastAsia="新宋体"/>
                <w:color w:val="000000"/>
                <w:szCs w:val="21"/>
                <w:lang w:val="en-US" w:eastAsia="zh-CN"/>
              </w:rPr>
              <w:t>2</w:t>
            </w:r>
            <w:r>
              <w:rPr>
                <w:rFonts w:hint="eastAsia" w:ascii="新宋体" w:hAnsi="新宋体" w:eastAsia="新宋体"/>
                <w:color w:val="000000"/>
                <w:szCs w:val="21"/>
              </w:rPr>
              <w:t>分；方案较差、内容缺失、方案存在重大瑕疵的得</w:t>
            </w:r>
            <w:r>
              <w:rPr>
                <w:rFonts w:ascii="新宋体" w:hAnsi="新宋体" w:eastAsia="新宋体"/>
                <w:color w:val="000000"/>
                <w:szCs w:val="21"/>
              </w:rPr>
              <w:t>1</w:t>
            </w:r>
            <w:r>
              <w:rPr>
                <w:rFonts w:hint="eastAsia" w:ascii="新宋体" w:hAnsi="新宋体" w:eastAsia="新宋体"/>
                <w:color w:val="000000"/>
                <w:szCs w:val="21"/>
              </w:rPr>
              <w:t>分；不提供的不得分。</w:t>
            </w:r>
          </w:p>
          <w:p>
            <w:pPr>
              <w:widowControl/>
              <w:rPr>
                <w:rFonts w:hint="default" w:ascii="新宋体" w:hAnsi="新宋体" w:eastAsia="新宋体"/>
                <w:color w:val="000000"/>
                <w:szCs w:val="21"/>
                <w:lang w:val="en-US" w:eastAsia="zh-CN"/>
              </w:rPr>
            </w:pPr>
            <w:r>
              <w:rPr>
                <w:rFonts w:hint="eastAsia" w:ascii="新宋体" w:hAnsi="新宋体" w:eastAsia="新宋体"/>
                <w:color w:val="000000"/>
                <w:szCs w:val="21"/>
                <w:lang w:eastAsia="zh-CN"/>
              </w:rPr>
              <w:t>提供</w:t>
            </w:r>
            <w:r>
              <w:rPr>
                <w:rFonts w:hint="eastAsia" w:ascii="新宋体" w:hAnsi="新宋体" w:eastAsia="新宋体"/>
                <w:color w:val="000000"/>
                <w:szCs w:val="21"/>
                <w:lang w:val="en-US" w:eastAsia="zh-CN"/>
              </w:rPr>
              <w:t>OA系统和项目管理系统</w:t>
            </w:r>
            <w:r>
              <w:rPr>
                <w:rFonts w:hint="eastAsia" w:ascii="新宋体" w:hAnsi="新宋体" w:eastAsia="新宋体"/>
                <w:color w:val="000000"/>
                <w:szCs w:val="21"/>
                <w:lang w:eastAsia="zh-CN"/>
              </w:rPr>
              <w:t>现场演示</w:t>
            </w:r>
            <w:r>
              <w:rPr>
                <w:rFonts w:hint="eastAsia" w:ascii="新宋体" w:hAnsi="新宋体" w:eastAsia="新宋体"/>
                <w:color w:val="000000"/>
                <w:szCs w:val="21"/>
                <w:lang w:val="en-US" w:eastAsia="zh-CN"/>
              </w:rPr>
              <w:t>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widowControl/>
              <w:jc w:val="center"/>
              <w:rPr>
                <w:rFonts w:ascii="宋体" w:hAnsi="宋体"/>
              </w:rPr>
            </w:pPr>
            <w:r>
              <w:rPr>
                <w:rFonts w:hint="eastAsia" w:ascii="宋体" w:hAnsi="宋体"/>
              </w:rPr>
              <w:t>3</w:t>
            </w:r>
          </w:p>
        </w:tc>
        <w:tc>
          <w:tcPr>
            <w:tcW w:w="1275" w:type="dxa"/>
            <w:vAlign w:val="center"/>
          </w:tcPr>
          <w:p>
            <w:pPr>
              <w:widowControl/>
              <w:jc w:val="center"/>
              <w:rPr>
                <w:rFonts w:ascii="新宋体" w:hAnsi="新宋体" w:eastAsia="新宋体" w:cs="宋体"/>
                <w:color w:val="000000"/>
                <w:kern w:val="0"/>
              </w:rPr>
            </w:pPr>
            <w:r>
              <w:rPr>
                <w:rFonts w:hint="eastAsia" w:ascii="新宋体" w:hAnsi="新宋体" w:eastAsia="新宋体" w:cs="宋体"/>
                <w:color w:val="000000"/>
                <w:kern w:val="0"/>
              </w:rPr>
              <w:t>性能指标及参数</w:t>
            </w:r>
          </w:p>
        </w:tc>
        <w:tc>
          <w:tcPr>
            <w:tcW w:w="709" w:type="dxa"/>
            <w:vAlign w:val="center"/>
          </w:tcPr>
          <w:p>
            <w:pPr>
              <w:widowControl/>
              <w:jc w:val="center"/>
              <w:rPr>
                <w:rFonts w:hint="default" w:ascii="新宋体" w:hAnsi="新宋体" w:eastAsia="新宋体" w:cs="宋体"/>
                <w:color w:val="000000"/>
                <w:kern w:val="0"/>
                <w:lang w:val="en-US" w:eastAsia="zh-CN"/>
              </w:rPr>
            </w:pPr>
            <w:r>
              <w:rPr>
                <w:rFonts w:hint="eastAsia" w:ascii="新宋体" w:hAnsi="新宋体" w:eastAsia="新宋体" w:cs="宋体"/>
                <w:color w:val="000000"/>
                <w:kern w:val="0"/>
                <w:lang w:val="en-US" w:eastAsia="zh-CN"/>
              </w:rPr>
              <w:t>22</w:t>
            </w:r>
          </w:p>
        </w:tc>
        <w:tc>
          <w:tcPr>
            <w:tcW w:w="5721" w:type="dxa"/>
            <w:vAlign w:val="center"/>
          </w:tcPr>
          <w:p>
            <w:pPr>
              <w:widowControl/>
              <w:rPr>
                <w:rFonts w:ascii="宋体" w:hAnsi="宋体"/>
              </w:rPr>
            </w:pPr>
            <w:r>
              <w:rPr>
                <w:rFonts w:hint="eastAsia" w:ascii="新宋体" w:hAnsi="新宋体" w:eastAsia="新宋体" w:cs="宋体"/>
                <w:color w:val="000000"/>
                <w:kern w:val="0"/>
              </w:rPr>
              <w:t>完全响应招标文件</w:t>
            </w:r>
            <w:r>
              <w:rPr>
                <w:rFonts w:hint="eastAsia" w:ascii="新宋体" w:hAnsi="新宋体" w:eastAsia="新宋体"/>
                <w:b/>
                <w:color w:val="000000"/>
              </w:rPr>
              <w:t>采购内容及技术参数要求</w:t>
            </w:r>
            <w:r>
              <w:rPr>
                <w:rFonts w:hint="eastAsia" w:ascii="新宋体" w:hAnsi="新宋体" w:eastAsia="新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7" w:type="dxa"/>
            <w:vAlign w:val="center"/>
          </w:tcPr>
          <w:p>
            <w:pPr>
              <w:widowControl/>
              <w:jc w:val="center"/>
              <w:rPr>
                <w:rFonts w:ascii="宋体" w:hAnsi="宋体"/>
              </w:rPr>
            </w:pPr>
            <w:r>
              <w:rPr>
                <w:rFonts w:hint="eastAsia" w:ascii="宋体" w:hAnsi="宋体"/>
              </w:rPr>
              <w:t>8</w:t>
            </w:r>
          </w:p>
        </w:tc>
        <w:tc>
          <w:tcPr>
            <w:tcW w:w="1275" w:type="dxa"/>
            <w:vAlign w:val="center"/>
          </w:tcPr>
          <w:p>
            <w:pPr>
              <w:widowControl/>
              <w:jc w:val="center"/>
              <w:rPr>
                <w:rFonts w:ascii="新宋体" w:hAnsi="新宋体" w:eastAsia="新宋体" w:cs="宋体"/>
                <w:color w:val="000000"/>
                <w:kern w:val="0"/>
              </w:rPr>
            </w:pPr>
            <w:r>
              <w:rPr>
                <w:rFonts w:hint="eastAsia" w:ascii="新宋体" w:hAnsi="新宋体" w:eastAsia="新宋体" w:cs="宋体"/>
                <w:color w:val="000000"/>
                <w:kern w:val="0"/>
              </w:rPr>
              <w:t>投标文件的规范性</w:t>
            </w:r>
          </w:p>
        </w:tc>
        <w:tc>
          <w:tcPr>
            <w:tcW w:w="709" w:type="dxa"/>
            <w:vAlign w:val="center"/>
          </w:tcPr>
          <w:p>
            <w:pPr>
              <w:widowControl/>
              <w:jc w:val="center"/>
              <w:rPr>
                <w:rFonts w:hint="eastAsia" w:ascii="新宋体" w:hAnsi="新宋体" w:eastAsia="新宋体" w:cs="宋体"/>
                <w:color w:val="000000"/>
                <w:kern w:val="0"/>
                <w:lang w:eastAsia="zh-CN"/>
              </w:rPr>
            </w:pPr>
            <w:r>
              <w:rPr>
                <w:rFonts w:hint="eastAsia" w:ascii="新宋体" w:hAnsi="新宋体" w:eastAsia="新宋体" w:cs="宋体"/>
                <w:color w:val="000000"/>
                <w:kern w:val="0"/>
                <w:lang w:val="en-US" w:eastAsia="zh-CN"/>
              </w:rPr>
              <w:t>2</w:t>
            </w:r>
          </w:p>
        </w:tc>
        <w:tc>
          <w:tcPr>
            <w:tcW w:w="5721" w:type="dxa"/>
            <w:vAlign w:val="center"/>
          </w:tcPr>
          <w:p>
            <w:pPr>
              <w:widowControl/>
              <w:rPr>
                <w:rFonts w:ascii="宋体" w:hAnsi="宋体"/>
              </w:rPr>
            </w:pPr>
            <w:r>
              <w:rPr>
                <w:rFonts w:hint="eastAsia" w:ascii="新宋体" w:hAnsi="新宋体" w:eastAsia="新宋体" w:cs="宋体"/>
                <w:color w:val="000000"/>
                <w:kern w:val="0"/>
              </w:rPr>
              <w:t>投标文件制作规范，编制完整</w:t>
            </w:r>
            <w:r>
              <w:rPr>
                <w:rFonts w:ascii="新宋体" w:hAnsi="新宋体" w:eastAsia="新宋体" w:cs="宋体"/>
                <w:color w:val="000000"/>
                <w:kern w:val="0"/>
              </w:rPr>
              <w:t>,</w:t>
            </w:r>
            <w:r>
              <w:rPr>
                <w:rFonts w:hint="eastAsia" w:ascii="新宋体" w:hAnsi="新宋体" w:eastAsia="新宋体" w:cs="宋体"/>
                <w:color w:val="000000"/>
                <w:kern w:val="0"/>
              </w:rPr>
              <w:t>格式规范、装订整齐、按规定编目编码等没有细微偏差情形的得</w:t>
            </w:r>
            <w:r>
              <w:rPr>
                <w:rFonts w:hint="eastAsia" w:ascii="新宋体" w:hAnsi="新宋体" w:eastAsia="新宋体" w:cs="宋体"/>
                <w:color w:val="000000"/>
                <w:kern w:val="0"/>
                <w:lang w:val="en-US" w:eastAsia="zh-CN"/>
              </w:rPr>
              <w:t>2</w:t>
            </w:r>
            <w:r>
              <w:rPr>
                <w:rFonts w:hint="eastAsia" w:ascii="新宋体" w:hAnsi="新宋体" w:eastAsia="新宋体" w:cs="宋体"/>
                <w:color w:val="000000"/>
                <w:kern w:val="0"/>
              </w:rPr>
              <w:t>分；有一项细微偏差扣</w:t>
            </w:r>
            <w:r>
              <w:rPr>
                <w:rFonts w:ascii="新宋体" w:hAnsi="新宋体" w:eastAsia="新宋体" w:cs="宋体"/>
                <w:color w:val="000000"/>
                <w:kern w:val="0"/>
              </w:rPr>
              <w:t>0.5</w:t>
            </w:r>
            <w:r>
              <w:rPr>
                <w:rFonts w:hint="eastAsia" w:ascii="新宋体" w:hAnsi="新宋体" w:eastAsia="新宋体" w:cs="宋体"/>
                <w:color w:val="000000"/>
                <w:kern w:val="0"/>
              </w:rPr>
              <w:t>分，直至该项分值扣完为止。</w:t>
            </w:r>
          </w:p>
        </w:tc>
      </w:tr>
    </w:tbl>
    <w:p>
      <w:pPr>
        <w:pStyle w:val="2"/>
      </w:pPr>
    </w:p>
    <w:p>
      <w:pPr>
        <w:jc w:val="center"/>
        <w:rPr>
          <w:rFonts w:ascii="宋体" w:hAnsi="宋体" w:cs="宋体"/>
          <w:b/>
          <w:bCs/>
          <w:sz w:val="36"/>
          <w:szCs w:val="36"/>
          <w:lang w:val="zh-CN"/>
        </w:rPr>
      </w:pPr>
    </w:p>
    <w:p>
      <w:pPr>
        <w:jc w:val="center"/>
        <w:rPr>
          <w:rFonts w:ascii="宋体" w:hAnsi="宋体" w:cs="宋体"/>
          <w:b/>
          <w:bCs/>
          <w:sz w:val="36"/>
          <w:szCs w:val="36"/>
          <w:lang w:val="zh-CN"/>
        </w:rPr>
      </w:pPr>
    </w:p>
    <w:p>
      <w:pPr>
        <w:jc w:val="center"/>
        <w:rPr>
          <w:rFonts w:ascii="宋体" w:hAnsi="宋体" w:cs="宋体"/>
          <w:b/>
          <w:bCs/>
          <w:sz w:val="36"/>
          <w:szCs w:val="36"/>
          <w:lang w:val="zh-CN"/>
        </w:rPr>
      </w:pPr>
    </w:p>
    <w:p>
      <w:pPr>
        <w:jc w:val="both"/>
        <w:rPr>
          <w:rFonts w:ascii="宋体" w:hAnsi="宋体" w:cs="宋体"/>
          <w:b/>
          <w:bCs/>
          <w:sz w:val="36"/>
          <w:szCs w:val="36"/>
          <w:lang w:val="zh-CN"/>
        </w:rPr>
      </w:pPr>
    </w:p>
    <w:p>
      <w:pPr>
        <w:jc w:val="left"/>
        <w:rPr>
          <w:rFonts w:hint="eastAsia" w:ascii="宋体" w:hAnsi="宋体" w:cs="宋体" w:eastAsiaTheme="minorEastAsia"/>
          <w:b/>
          <w:bCs/>
          <w:sz w:val="36"/>
          <w:szCs w:val="36"/>
          <w:lang w:val="en-US" w:eastAsia="zh-CN"/>
        </w:rPr>
      </w:pPr>
      <w:r>
        <w:rPr>
          <w:rFonts w:hint="eastAsia" w:ascii="宋体" w:hAnsi="宋体" w:cs="宋体"/>
          <w:b/>
          <w:bCs/>
          <w:sz w:val="36"/>
          <w:szCs w:val="36"/>
          <w:lang w:val="zh-CN"/>
        </w:rPr>
        <w:t>附件</w:t>
      </w:r>
      <w:r>
        <w:rPr>
          <w:rFonts w:hint="eastAsia" w:ascii="宋体" w:hAnsi="宋体" w:cs="宋体"/>
          <w:b/>
          <w:bCs/>
          <w:sz w:val="36"/>
          <w:szCs w:val="36"/>
          <w:lang w:val="en-US" w:eastAsia="zh-CN"/>
        </w:rPr>
        <w:t>1</w:t>
      </w:r>
    </w:p>
    <w:p>
      <w:pPr>
        <w:pStyle w:val="13"/>
        <w:rPr>
          <w:rFonts w:hint="eastAsia"/>
          <w:sz w:val="48"/>
          <w:szCs w:val="48"/>
        </w:rPr>
      </w:pPr>
      <w:r>
        <w:rPr>
          <w:rFonts w:hint="eastAsia"/>
          <w:sz w:val="48"/>
          <w:szCs w:val="48"/>
        </w:rPr>
        <w:t>四川纹江致远建筑开发工程有限公司</w:t>
      </w:r>
    </w:p>
    <w:p>
      <w:pPr>
        <w:pStyle w:val="13"/>
        <w:rPr>
          <w:rFonts w:hint="eastAsia" w:ascii="宋体"/>
          <w:sz w:val="56"/>
          <w:szCs w:val="56"/>
        </w:rPr>
      </w:pPr>
      <w:r>
        <w:rPr>
          <w:rFonts w:hint="eastAsia"/>
          <w:sz w:val="56"/>
          <w:szCs w:val="56"/>
        </w:rPr>
        <w:t>信息化系统建设</w:t>
      </w:r>
      <w:r>
        <w:rPr>
          <w:rFonts w:hint="eastAsia"/>
          <w:sz w:val="56"/>
          <w:szCs w:val="56"/>
          <w:lang w:eastAsia="zh-CN"/>
        </w:rPr>
        <w:t>开发</w:t>
      </w:r>
    </w:p>
    <w:p>
      <w:pPr>
        <w:spacing w:line="480" w:lineRule="auto"/>
        <w:rPr>
          <w:rFonts w:hint="eastAsia" w:eastAsiaTheme="minorEastAsia"/>
          <w:sz w:val="72"/>
          <w:szCs w:val="72"/>
          <w:lang w:eastAsia="zh-CN"/>
        </w:rPr>
      </w:pPr>
    </w:p>
    <w:p>
      <w:pPr>
        <w:spacing w:line="480" w:lineRule="auto"/>
        <w:rPr>
          <w:rFonts w:hint="eastAsia" w:eastAsiaTheme="minorEastAsia"/>
          <w:sz w:val="72"/>
          <w:szCs w:val="72"/>
          <w:lang w:eastAsia="zh-CN"/>
        </w:rPr>
      </w:pPr>
    </w:p>
    <w:p>
      <w:pPr>
        <w:jc w:val="center"/>
        <w:rPr>
          <w:rFonts w:ascii="宋体" w:hAnsi="宋体" w:eastAsia="宋体"/>
          <w:b/>
          <w:sz w:val="72"/>
          <w:szCs w:val="72"/>
          <w:lang w:eastAsia="zh-CN"/>
        </w:rPr>
      </w:pPr>
      <w:r>
        <w:rPr>
          <w:rFonts w:hint="eastAsia" w:ascii="宋体" w:hAnsi="宋体" w:eastAsia="宋体"/>
          <w:b/>
          <w:sz w:val="72"/>
          <w:szCs w:val="72"/>
          <w:lang w:eastAsia="zh-CN"/>
        </w:rPr>
        <w:t>合</w:t>
      </w:r>
    </w:p>
    <w:p>
      <w:pPr>
        <w:jc w:val="center"/>
        <w:rPr>
          <w:rFonts w:ascii="宋体" w:hAnsi="宋体" w:eastAsia="宋体"/>
          <w:b/>
          <w:sz w:val="72"/>
          <w:szCs w:val="72"/>
          <w:lang w:eastAsia="zh-CN"/>
        </w:rPr>
      </w:pPr>
    </w:p>
    <w:p>
      <w:pPr>
        <w:jc w:val="center"/>
        <w:rPr>
          <w:rFonts w:ascii="宋体" w:hAnsi="宋体" w:eastAsia="宋体"/>
          <w:b/>
          <w:sz w:val="72"/>
          <w:szCs w:val="72"/>
          <w:lang w:eastAsia="zh-CN"/>
        </w:rPr>
      </w:pPr>
      <w:r>
        <w:rPr>
          <w:rFonts w:hint="eastAsia" w:ascii="宋体" w:hAnsi="宋体" w:eastAsia="宋体"/>
          <w:b/>
          <w:sz w:val="72"/>
          <w:szCs w:val="72"/>
          <w:lang w:eastAsia="zh-CN"/>
        </w:rPr>
        <w:t>同</w:t>
      </w:r>
    </w:p>
    <w:p>
      <w:pPr>
        <w:jc w:val="center"/>
        <w:rPr>
          <w:rFonts w:ascii="宋体" w:hAnsi="宋体" w:eastAsia="宋体"/>
          <w:b/>
          <w:sz w:val="72"/>
          <w:szCs w:val="72"/>
          <w:lang w:eastAsia="zh-CN"/>
        </w:rPr>
      </w:pPr>
    </w:p>
    <w:p>
      <w:pPr>
        <w:jc w:val="center"/>
        <w:rPr>
          <w:rFonts w:ascii="宋体" w:hAnsi="宋体" w:eastAsia="宋体"/>
          <w:b/>
          <w:sz w:val="72"/>
          <w:szCs w:val="72"/>
          <w:lang w:eastAsia="zh-CN"/>
        </w:rPr>
      </w:pPr>
      <w:r>
        <w:rPr>
          <w:rFonts w:hint="eastAsia" w:ascii="宋体" w:hAnsi="宋体" w:eastAsia="宋体"/>
          <w:b/>
          <w:sz w:val="72"/>
          <w:szCs w:val="72"/>
          <w:lang w:eastAsia="zh-CN"/>
        </w:rPr>
        <w:t>书</w:t>
      </w:r>
    </w:p>
    <w:p>
      <w:pPr>
        <w:spacing w:line="480" w:lineRule="auto"/>
        <w:jc w:val="center"/>
        <w:rPr>
          <w:lang w:eastAsia="zh-CN"/>
        </w:rPr>
      </w:pPr>
    </w:p>
    <w:p>
      <w:pPr>
        <w:spacing w:line="480" w:lineRule="auto"/>
        <w:jc w:val="center"/>
        <w:rPr>
          <w:lang w:eastAsia="zh-CN"/>
        </w:rPr>
      </w:pPr>
    </w:p>
    <w:p>
      <w:pPr>
        <w:spacing w:line="480" w:lineRule="auto"/>
        <w:jc w:val="center"/>
        <w:rPr>
          <w:rFonts w:hint="eastAsia" w:ascii="华文宋体" w:eastAsia="华文宋体"/>
          <w:b/>
          <w:bCs/>
          <w:sz w:val="30"/>
          <w:szCs w:val="30"/>
          <w:lang w:eastAsia="zh-CN"/>
        </w:rPr>
      </w:pPr>
    </w:p>
    <w:p>
      <w:pPr>
        <w:spacing w:line="480" w:lineRule="auto"/>
        <w:jc w:val="center"/>
        <w:rPr>
          <w:rFonts w:hint="eastAsia" w:ascii="华文宋体" w:eastAsia="华文宋体"/>
          <w:b/>
          <w:bCs/>
          <w:sz w:val="32"/>
          <w:szCs w:val="32"/>
          <w:lang w:eastAsia="zh-CN"/>
        </w:rPr>
      </w:pPr>
      <w:r>
        <w:rPr>
          <w:rFonts w:hint="eastAsia" w:ascii="华文宋体" w:eastAsia="华文宋体"/>
          <w:b/>
          <w:bCs/>
          <w:sz w:val="32"/>
          <w:szCs w:val="32"/>
          <w:lang w:eastAsia="zh-CN"/>
        </w:rPr>
        <w:t>签订时间：</w:t>
      </w:r>
      <w:r>
        <w:rPr>
          <w:rFonts w:hint="eastAsia" w:ascii="华文宋体" w:eastAsia="华文宋体"/>
          <w:b/>
          <w:bCs/>
          <w:sz w:val="32"/>
          <w:szCs w:val="32"/>
          <w:lang w:val="en-US" w:eastAsia="zh-CN"/>
        </w:rPr>
        <w:t xml:space="preserve">    </w:t>
      </w:r>
      <w:r>
        <w:rPr>
          <w:rFonts w:hint="eastAsia" w:ascii="华文宋体" w:eastAsia="华文宋体"/>
          <w:b/>
          <w:bCs/>
          <w:sz w:val="32"/>
          <w:szCs w:val="32"/>
          <w:lang w:eastAsia="zh-CN"/>
        </w:rPr>
        <w:t>年</w:t>
      </w:r>
      <w:r>
        <w:rPr>
          <w:rFonts w:hint="eastAsia" w:ascii="华文宋体" w:eastAsia="华文宋体"/>
          <w:b/>
          <w:bCs/>
          <w:sz w:val="32"/>
          <w:szCs w:val="32"/>
          <w:lang w:val="en-US" w:eastAsia="zh-CN"/>
        </w:rPr>
        <w:t xml:space="preserve">    </w:t>
      </w:r>
      <w:r>
        <w:rPr>
          <w:rFonts w:hint="eastAsia" w:ascii="华文宋体" w:eastAsia="华文宋体"/>
          <w:b/>
          <w:bCs/>
          <w:sz w:val="32"/>
          <w:szCs w:val="32"/>
          <w:lang w:eastAsia="zh-CN"/>
        </w:rPr>
        <w:t xml:space="preserve">月  </w:t>
      </w:r>
      <w:r>
        <w:rPr>
          <w:rFonts w:hint="eastAsia" w:ascii="华文宋体" w:eastAsia="华文宋体"/>
          <w:b/>
          <w:bCs/>
          <w:sz w:val="32"/>
          <w:szCs w:val="32"/>
          <w:lang w:val="en-US" w:eastAsia="zh-CN"/>
        </w:rPr>
        <w:t xml:space="preserve"> </w:t>
      </w:r>
      <w:r>
        <w:rPr>
          <w:rFonts w:hint="eastAsia" w:ascii="华文宋体" w:eastAsia="华文宋体"/>
          <w:b/>
          <w:bCs/>
          <w:sz w:val="32"/>
          <w:szCs w:val="32"/>
          <w:lang w:eastAsia="zh-CN"/>
        </w:rPr>
        <w:t xml:space="preserve"> 日</w:t>
      </w:r>
    </w:p>
    <w:p>
      <w:pPr>
        <w:widowControl/>
        <w:autoSpaceDE/>
        <w:autoSpaceDN/>
        <w:rPr>
          <w:rFonts w:hint="eastAsia" w:eastAsiaTheme="minorEastAsia"/>
          <w:b/>
          <w:sz w:val="48"/>
          <w:szCs w:val="48"/>
          <w:lang w:eastAsia="zh-CN"/>
        </w:rPr>
      </w:pPr>
    </w:p>
    <w:p>
      <w:pPr>
        <w:pStyle w:val="2"/>
        <w:rPr>
          <w:rFonts w:hint="eastAsia"/>
          <w:lang w:eastAsia="zh-CN"/>
        </w:rPr>
      </w:pPr>
    </w:p>
    <w:p>
      <w:pPr>
        <w:pStyle w:val="11"/>
        <w:spacing w:line="480" w:lineRule="auto"/>
        <w:ind w:firstLine="480"/>
        <w:rPr>
          <w:rFonts w:hint="default" w:eastAsia="宋体"/>
          <w:szCs w:val="24"/>
          <w:lang w:val="en-US" w:eastAsia="zh-CN"/>
        </w:rPr>
      </w:pPr>
      <w:r>
        <w:rPr>
          <w:rFonts w:hint="eastAsia"/>
          <w:szCs w:val="24"/>
        </w:rPr>
        <w:t>合同编号：</w:t>
      </w:r>
      <w:r>
        <w:rPr>
          <w:rFonts w:hint="eastAsia"/>
          <w:szCs w:val="24"/>
          <w:u w:val="single"/>
          <w:lang w:val="en-US" w:eastAsia="zh-CN"/>
        </w:rPr>
        <w:t xml:space="preserve">             </w:t>
      </w:r>
    </w:p>
    <w:p>
      <w:pPr>
        <w:pStyle w:val="11"/>
        <w:spacing w:line="480" w:lineRule="auto"/>
        <w:ind w:firstLine="480"/>
        <w:rPr>
          <w:rFonts w:hint="eastAsia" w:eastAsia="宋体"/>
          <w:szCs w:val="24"/>
          <w:u w:val="single"/>
          <w:lang w:eastAsia="zh-CN"/>
        </w:rPr>
      </w:pPr>
      <w:r>
        <w:rPr>
          <w:rFonts w:hint="eastAsia"/>
          <w:szCs w:val="24"/>
        </w:rPr>
        <w:t>签订地点：</w:t>
      </w:r>
      <w:r>
        <w:rPr>
          <w:rFonts w:hint="eastAsia"/>
          <w:szCs w:val="24"/>
          <w:u w:val="single"/>
        </w:rPr>
        <w:t>德阳市</w:t>
      </w:r>
      <w:r>
        <w:rPr>
          <w:rFonts w:hint="eastAsia"/>
          <w:szCs w:val="24"/>
          <w:u w:val="single"/>
          <w:lang w:eastAsia="zh-CN"/>
        </w:rPr>
        <w:t>罗江区</w:t>
      </w:r>
    </w:p>
    <w:p>
      <w:pPr>
        <w:pStyle w:val="11"/>
        <w:spacing w:line="480" w:lineRule="auto"/>
        <w:ind w:firstLine="480"/>
        <w:rPr>
          <w:rFonts w:hint="default" w:eastAsia="宋体"/>
          <w:szCs w:val="24"/>
          <w:u w:val="single"/>
          <w:lang w:val="en-US" w:eastAsia="zh-CN"/>
        </w:rPr>
      </w:pPr>
      <w:r>
        <w:rPr>
          <w:rFonts w:hint="eastAsia"/>
          <w:szCs w:val="24"/>
        </w:rPr>
        <w:t>委托方（甲方）：</w:t>
      </w:r>
      <w:r>
        <w:rPr>
          <w:rFonts w:hint="eastAsia"/>
          <w:szCs w:val="24"/>
          <w:u w:val="single"/>
          <w:lang w:val="en-US" w:eastAsia="zh-CN"/>
        </w:rPr>
        <w:t>四川纹江致远建筑开发工程有限公司</w:t>
      </w:r>
    </w:p>
    <w:p>
      <w:pPr>
        <w:pStyle w:val="11"/>
        <w:spacing w:line="480" w:lineRule="auto"/>
        <w:ind w:firstLine="480"/>
        <w:rPr>
          <w:rFonts w:hint="default" w:eastAsia="宋体"/>
          <w:szCs w:val="24"/>
          <w:u w:val="single"/>
          <w:lang w:val="en-US" w:eastAsia="zh-CN"/>
        </w:rPr>
      </w:pPr>
      <w:r>
        <w:rPr>
          <w:rFonts w:hint="eastAsia"/>
          <w:szCs w:val="24"/>
        </w:rPr>
        <w:t>受托方（乙方）：</w:t>
      </w:r>
      <w:r>
        <w:rPr>
          <w:rFonts w:hint="eastAsia"/>
          <w:szCs w:val="24"/>
          <w:u w:val="single"/>
          <w:lang w:val="en-US" w:eastAsia="zh-CN"/>
        </w:rPr>
        <w:t xml:space="preserve">                                </w:t>
      </w:r>
    </w:p>
    <w:p>
      <w:pPr>
        <w:widowControl/>
        <w:wordWrap w:val="0"/>
        <w:spacing w:line="480" w:lineRule="auto"/>
        <w:ind w:firstLine="480" w:firstLineChars="200"/>
        <w:rPr>
          <w:rFonts w:cs="宋体"/>
          <w:color w:val="auto"/>
          <w:kern w:val="2"/>
          <w:sz w:val="24"/>
          <w:szCs w:val="24"/>
          <w:highlight w:val="none"/>
          <w:lang w:eastAsia="zh-CN"/>
        </w:rPr>
      </w:pPr>
      <w:r>
        <w:rPr>
          <w:rFonts w:cs="宋体"/>
          <w:kern w:val="2"/>
          <w:sz w:val="24"/>
          <w:szCs w:val="24"/>
          <w:lang w:eastAsia="zh-CN"/>
        </w:rPr>
        <w:t>本合同甲方委托乙方</w:t>
      </w:r>
      <w:r>
        <w:rPr>
          <w:rFonts w:cs="宋体"/>
          <w:color w:val="auto"/>
          <w:kern w:val="2"/>
          <w:sz w:val="24"/>
          <w:szCs w:val="24"/>
          <w:highlight w:val="none"/>
          <w:lang w:eastAsia="zh-CN"/>
        </w:rPr>
        <w:t>就</w:t>
      </w:r>
      <w:r>
        <w:rPr>
          <w:rFonts w:hint="eastAsia" w:cs="宋体"/>
          <w:color w:val="auto"/>
          <w:kern w:val="2"/>
          <w:sz w:val="24"/>
          <w:szCs w:val="24"/>
          <w:highlight w:val="none"/>
          <w:lang w:eastAsia="zh-CN"/>
        </w:rPr>
        <w:t>四川纹江致远建筑开发工程有限公司信息化系统建设</w:t>
      </w:r>
      <w:r>
        <w:rPr>
          <w:rFonts w:cs="宋体"/>
          <w:color w:val="auto"/>
          <w:kern w:val="2"/>
          <w:sz w:val="24"/>
          <w:szCs w:val="24"/>
          <w:highlight w:val="none"/>
          <w:lang w:eastAsia="zh-CN"/>
        </w:rPr>
        <w:t>服务，并支付相应的技术服务报酬。双方经过平等协商，在真实、充分地表达各自意愿的基础上，根据《中华人民共和国</w:t>
      </w:r>
      <w:r>
        <w:rPr>
          <w:rFonts w:hint="eastAsia" w:cs="宋体"/>
          <w:color w:val="auto"/>
          <w:kern w:val="2"/>
          <w:sz w:val="24"/>
          <w:szCs w:val="24"/>
          <w:highlight w:val="none"/>
          <w:lang w:val="en-US" w:eastAsia="zh-CN"/>
        </w:rPr>
        <w:t>民法典</w:t>
      </w:r>
      <w:r>
        <w:rPr>
          <w:rFonts w:cs="宋体"/>
          <w:color w:val="auto"/>
          <w:kern w:val="2"/>
          <w:sz w:val="24"/>
          <w:szCs w:val="24"/>
          <w:highlight w:val="none"/>
          <w:lang w:eastAsia="zh-CN"/>
        </w:rPr>
        <w:t>》的规定，达成如下协议，并由双方共同恪守。</w:t>
      </w:r>
    </w:p>
    <w:p>
      <w:pPr>
        <w:numPr>
          <w:ilvl w:val="0"/>
          <w:numId w:val="2"/>
        </w:numPr>
        <w:autoSpaceDE/>
        <w:autoSpaceDN/>
        <w:snapToGrid w:val="0"/>
        <w:spacing w:line="460" w:lineRule="exact"/>
        <w:jc w:val="both"/>
        <w:rPr>
          <w:rFonts w:ascii="宋体" w:hAnsi="宋体" w:eastAsia="宋体" w:cs="宋体"/>
          <w:b/>
          <w:color w:val="auto"/>
          <w:sz w:val="24"/>
          <w:highlight w:val="none"/>
        </w:rPr>
      </w:pPr>
      <w:r>
        <w:rPr>
          <w:rFonts w:hint="eastAsia" w:ascii="宋体" w:hAnsi="宋体" w:eastAsia="宋体" w:cs="宋体"/>
          <w:b/>
          <w:color w:val="auto"/>
          <w:sz w:val="24"/>
          <w:highlight w:val="none"/>
        </w:rPr>
        <w:t>合同期限</w:t>
      </w:r>
    </w:p>
    <w:p>
      <w:pPr>
        <w:pStyle w:val="7"/>
        <w:spacing w:line="360" w:lineRule="auto"/>
        <w:ind w:firstLine="480" w:firstLineChars="200"/>
        <w:rPr>
          <w:rFonts w:ascii="宋体" w:hAnsi="宋体" w:cs="宋体"/>
          <w:color w:val="auto"/>
          <w:kern w:val="0"/>
          <w:sz w:val="24"/>
          <w:highlight w:val="none"/>
        </w:rPr>
      </w:pPr>
      <w:r>
        <w:rPr>
          <w:rFonts w:hint="eastAsia" w:ascii="宋体"/>
          <w:color w:val="auto"/>
          <w:sz w:val="24"/>
          <w:szCs w:val="24"/>
          <w:highlight w:val="none"/>
        </w:rPr>
        <w:t>本期项目服务合同期限为自本合同签订之日起至维护期限届满</w:t>
      </w:r>
      <w:r>
        <w:rPr>
          <w:rFonts w:hint="eastAsia" w:ascii="宋体"/>
          <w:color w:val="auto"/>
          <w:sz w:val="24"/>
          <w:szCs w:val="24"/>
          <w:highlight w:val="none"/>
          <w:lang w:eastAsia="zh-CN"/>
        </w:rPr>
        <w:t>，维护期为</w:t>
      </w:r>
      <w:r>
        <w:rPr>
          <w:rFonts w:hint="eastAsia" w:ascii="宋体"/>
          <w:color w:val="auto"/>
          <w:sz w:val="24"/>
          <w:szCs w:val="24"/>
          <w:highlight w:val="none"/>
          <w:lang w:val="en-US" w:eastAsia="zh-CN"/>
        </w:rPr>
        <w:t>1年</w:t>
      </w:r>
      <w:r>
        <w:rPr>
          <w:rFonts w:hint="eastAsia" w:ascii="宋体"/>
          <w:color w:val="auto"/>
          <w:sz w:val="24"/>
          <w:szCs w:val="24"/>
          <w:highlight w:val="none"/>
        </w:rPr>
        <w:t>。</w:t>
      </w:r>
      <w:r>
        <w:rPr>
          <w:rFonts w:hint="eastAsia" w:ascii="宋体" w:hAnsi="宋体" w:cs="宋体"/>
          <w:color w:val="auto"/>
          <w:kern w:val="0"/>
          <w:sz w:val="24"/>
          <w:highlight w:val="none"/>
        </w:rPr>
        <w:t>合同签订生效后</w:t>
      </w:r>
      <w:r>
        <w:rPr>
          <w:rFonts w:hint="eastAsia" w:ascii="宋体" w:hAnsi="宋体" w:cs="宋体"/>
          <w:color w:val="auto"/>
          <w:kern w:val="0"/>
          <w:sz w:val="24"/>
          <w:highlight w:val="none"/>
          <w:lang w:val="en-US" w:eastAsia="zh-CN"/>
        </w:rPr>
        <w:t>50</w:t>
      </w:r>
      <w:r>
        <w:rPr>
          <w:rFonts w:hint="eastAsia" w:ascii="宋体" w:hAnsi="宋体" w:cs="宋体"/>
          <w:color w:val="auto"/>
          <w:kern w:val="0"/>
          <w:sz w:val="24"/>
          <w:highlight w:val="none"/>
        </w:rPr>
        <w:t>日历天内完成本项目全部内容</w:t>
      </w:r>
      <w:r>
        <w:rPr>
          <w:rFonts w:hint="eastAsia" w:ascii="宋体" w:hAnsi="宋体" w:cs="宋体"/>
          <w:color w:val="auto"/>
          <w:kern w:val="0"/>
          <w:sz w:val="24"/>
          <w:highlight w:val="none"/>
          <w:lang w:val="en-US" w:eastAsia="zh-CN"/>
        </w:rPr>
        <w:t>；服务器租赁期从合同签订之日起计算；维护期从经甲方验收合格并出具验收合格证明书的次日起算</w:t>
      </w:r>
      <w:r>
        <w:rPr>
          <w:rFonts w:hint="eastAsia" w:ascii="宋体" w:hAnsi="宋体" w:cs="宋体"/>
          <w:color w:val="auto"/>
          <w:kern w:val="0"/>
          <w:sz w:val="24"/>
          <w:highlight w:val="none"/>
        </w:rPr>
        <w:t>。</w:t>
      </w:r>
    </w:p>
    <w:p>
      <w:pPr>
        <w:numPr>
          <w:ilvl w:val="0"/>
          <w:numId w:val="2"/>
        </w:numPr>
        <w:autoSpaceDE/>
        <w:autoSpaceDN/>
        <w:snapToGrid w:val="0"/>
        <w:spacing w:line="460" w:lineRule="exact"/>
        <w:jc w:val="both"/>
        <w:rPr>
          <w:rFonts w:ascii="宋体" w:hAnsi="宋体" w:eastAsia="宋体" w:cs="宋体"/>
          <w:b/>
          <w:color w:val="auto"/>
          <w:sz w:val="24"/>
          <w:highlight w:val="none"/>
        </w:rPr>
      </w:pPr>
      <w:r>
        <w:rPr>
          <w:rFonts w:hint="eastAsia" w:ascii="宋体" w:hAnsi="宋体" w:eastAsia="宋体" w:cs="宋体"/>
          <w:b/>
          <w:color w:val="auto"/>
          <w:sz w:val="24"/>
          <w:highlight w:val="none"/>
        </w:rPr>
        <w:t>服务内容</w:t>
      </w:r>
    </w:p>
    <w:p>
      <w:pPr>
        <w:pStyle w:val="8"/>
        <w:spacing w:line="360" w:lineRule="auto"/>
        <w:ind w:firstLine="480" w:firstLineChars="200"/>
        <w:rPr>
          <w:rFonts w:hint="default" w:eastAsia="宋体"/>
          <w:color w:val="auto"/>
          <w:highlight w:val="none"/>
          <w:lang w:val="en-US" w:eastAsia="zh-CN"/>
        </w:rPr>
      </w:pPr>
      <w:r>
        <w:rPr>
          <w:rFonts w:hint="eastAsia"/>
          <w:color w:val="auto"/>
          <w:sz w:val="24"/>
          <w:szCs w:val="24"/>
          <w:highlight w:val="none"/>
          <w:lang w:val="en-US" w:eastAsia="zh-CN"/>
        </w:rPr>
        <w:t>1.</w:t>
      </w:r>
      <w:r>
        <w:rPr>
          <w:rFonts w:hint="eastAsia"/>
          <w:color w:val="auto"/>
          <w:sz w:val="24"/>
          <w:szCs w:val="24"/>
          <w:highlight w:val="none"/>
        </w:rPr>
        <w:t>本项目</w:t>
      </w:r>
      <w:r>
        <w:rPr>
          <w:rFonts w:hint="eastAsia"/>
          <w:color w:val="auto"/>
          <w:sz w:val="24"/>
          <w:szCs w:val="24"/>
          <w:highlight w:val="none"/>
          <w:lang w:eastAsia="zh-CN"/>
        </w:rPr>
        <w:t>合同</w:t>
      </w:r>
      <w:r>
        <w:rPr>
          <w:rFonts w:hint="eastAsia"/>
          <w:color w:val="auto"/>
          <w:sz w:val="24"/>
          <w:szCs w:val="24"/>
          <w:highlight w:val="none"/>
        </w:rPr>
        <w:t>总额为人民币：</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rPr>
        <w:t>元整（大写：</w:t>
      </w:r>
      <w:r>
        <w:rPr>
          <w:rFonts w:hint="eastAsia" w:hAnsi="宋体" w:cs="宋体"/>
          <w:color w:val="auto"/>
          <w:sz w:val="24"/>
          <w:highlight w:val="none"/>
          <w:u w:val="single"/>
          <w:lang w:val="en-US" w:eastAsia="zh-CN"/>
        </w:rPr>
        <w:t xml:space="preserve">               </w:t>
      </w:r>
      <w:r>
        <w:rPr>
          <w:rFonts w:hint="eastAsia"/>
          <w:color w:val="auto"/>
          <w:sz w:val="24"/>
          <w:szCs w:val="24"/>
          <w:highlight w:val="none"/>
        </w:rPr>
        <w:t>）</w:t>
      </w:r>
      <w:r>
        <w:rPr>
          <w:rFonts w:hint="eastAsia"/>
          <w:color w:val="auto"/>
          <w:sz w:val="24"/>
          <w:szCs w:val="24"/>
          <w:highlight w:val="none"/>
          <w:lang w:eastAsia="zh-CN"/>
        </w:rPr>
        <w:t>，含增值税专用发票</w:t>
      </w:r>
      <w:r>
        <w:rPr>
          <w:rFonts w:hint="eastAsia"/>
          <w:color w:val="auto"/>
          <w:sz w:val="24"/>
          <w:szCs w:val="24"/>
          <w:highlight w:val="none"/>
          <w:u w:val="single"/>
          <w:lang w:val="en-US" w:eastAsia="zh-CN"/>
        </w:rPr>
        <w:t xml:space="preserve">   %</w:t>
      </w:r>
      <w:r>
        <w:rPr>
          <w:rFonts w:hint="eastAsia"/>
          <w:color w:val="auto"/>
          <w:sz w:val="24"/>
          <w:szCs w:val="24"/>
          <w:highlight w:val="none"/>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3960"/>
        <w:gridCol w:w="963"/>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widowControl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3960" w:type="dxa"/>
          </w:tcPr>
          <w:p>
            <w:pPr>
              <w:widowControl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包含内容</w:t>
            </w:r>
          </w:p>
        </w:tc>
        <w:tc>
          <w:tcPr>
            <w:tcW w:w="963" w:type="dxa"/>
          </w:tcPr>
          <w:p>
            <w:pPr>
              <w:widowControl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464" w:type="dxa"/>
          </w:tcPr>
          <w:p>
            <w:pPr>
              <w:widowControl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129" w:type="dxa"/>
            <w:vAlign w:val="center"/>
          </w:tcPr>
          <w:p>
            <w:pPr>
              <w:widowControl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招标采购系统</w:t>
            </w:r>
          </w:p>
        </w:tc>
        <w:tc>
          <w:tcPr>
            <w:tcW w:w="3960" w:type="dxa"/>
            <w:vAlign w:val="center"/>
          </w:tcPr>
          <w:p>
            <w:pPr>
              <w:widowControl w:val="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见本合同服务清单，招标采购系统功能清单</w:t>
            </w:r>
            <w:r>
              <w:rPr>
                <w:rFonts w:hint="eastAsia" w:ascii="宋体" w:hAnsi="宋体" w:eastAsia="宋体" w:cs="宋体"/>
                <w:b/>
                <w:bCs/>
                <w:color w:val="auto"/>
                <w:szCs w:val="21"/>
                <w:highlight w:val="none"/>
                <w:lang w:val="en-US" w:eastAsia="zh-CN"/>
              </w:rPr>
              <w:t>(含电脑版及微信小程序端定制费用）</w:t>
            </w:r>
          </w:p>
        </w:tc>
        <w:tc>
          <w:tcPr>
            <w:tcW w:w="963" w:type="dxa"/>
            <w:vAlign w:val="center"/>
          </w:tcPr>
          <w:p>
            <w:pPr>
              <w:widowControl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1套</w:t>
            </w:r>
          </w:p>
        </w:tc>
        <w:tc>
          <w:tcPr>
            <w:tcW w:w="1464" w:type="dxa"/>
            <w:vAlign w:val="center"/>
          </w:tcPr>
          <w:p>
            <w:pPr>
              <w:widowControl w:val="0"/>
              <w:jc w:val="center"/>
              <w:rPr>
                <w:rFonts w:hint="eastAsia"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2129" w:type="dxa"/>
            <w:vAlign w:val="center"/>
          </w:tcPr>
          <w:p>
            <w:pPr>
              <w:widowControl w:val="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工程管理系统OA</w:t>
            </w:r>
            <w:r>
              <w:rPr>
                <w:rFonts w:hint="eastAsia" w:ascii="宋体" w:hAnsi="宋体" w:eastAsia="宋体" w:cs="宋体"/>
                <w:b/>
                <w:bCs/>
                <w:color w:val="auto"/>
                <w:szCs w:val="21"/>
                <w:highlight w:val="none"/>
                <w:lang w:eastAsia="zh-CN"/>
              </w:rPr>
              <w:t>办公</w:t>
            </w:r>
            <w:r>
              <w:rPr>
                <w:rFonts w:hint="eastAsia" w:ascii="宋体" w:hAnsi="宋体" w:eastAsia="宋体" w:cs="宋体"/>
                <w:b/>
                <w:bCs/>
                <w:color w:val="auto"/>
                <w:szCs w:val="21"/>
                <w:highlight w:val="none"/>
              </w:rPr>
              <w:t>系统</w:t>
            </w:r>
          </w:p>
        </w:tc>
        <w:tc>
          <w:tcPr>
            <w:tcW w:w="3960" w:type="dxa"/>
            <w:vAlign w:val="center"/>
          </w:tcPr>
          <w:p>
            <w:pPr>
              <w:widowControl w:val="0"/>
              <w:jc w:val="left"/>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见本合同服务清单，工程管理系</w:t>
            </w:r>
            <w:bookmarkStart w:id="47" w:name="_GoBack"/>
            <w:bookmarkEnd w:id="47"/>
            <w:r>
              <w:rPr>
                <w:rFonts w:hint="eastAsia" w:ascii="宋体" w:hAnsi="宋体" w:eastAsia="宋体" w:cs="宋体"/>
                <w:color w:val="auto"/>
                <w:szCs w:val="21"/>
                <w:highlight w:val="none"/>
                <w:lang w:val="en-US" w:eastAsia="zh-CN"/>
              </w:rPr>
              <w:t>统功能清单</w:t>
            </w:r>
            <w:r>
              <w:rPr>
                <w:rFonts w:hint="eastAsia" w:ascii="宋体" w:hAnsi="宋体" w:eastAsia="宋体" w:cs="宋体"/>
                <w:b/>
                <w:bCs/>
                <w:color w:val="auto"/>
                <w:szCs w:val="21"/>
                <w:highlight w:val="none"/>
                <w:lang w:val="en-US" w:eastAsia="zh-CN"/>
              </w:rPr>
              <w:t>（含电脑端及手机APP端定制费用）</w:t>
            </w:r>
          </w:p>
        </w:tc>
        <w:tc>
          <w:tcPr>
            <w:tcW w:w="963" w:type="dxa"/>
            <w:vAlign w:val="center"/>
          </w:tcPr>
          <w:p>
            <w:pPr>
              <w:widowControl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1套</w:t>
            </w:r>
          </w:p>
        </w:tc>
        <w:tc>
          <w:tcPr>
            <w:tcW w:w="1464" w:type="dxa"/>
            <w:vAlign w:val="center"/>
          </w:tcPr>
          <w:p>
            <w:pPr>
              <w:widowControl w:val="0"/>
              <w:jc w:val="center"/>
              <w:rPr>
                <w:rFonts w:hint="eastAsia" w:ascii="宋体" w:hAnsi="宋体" w:eastAsia="宋体" w:cs="宋体"/>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29" w:type="dxa"/>
            <w:vAlign w:val="center"/>
          </w:tcPr>
          <w:p>
            <w:pPr>
              <w:widowControl w:val="0"/>
              <w:jc w:val="center"/>
              <w:rPr>
                <w:rFonts w:hint="eastAsia" w:ascii="宋体" w:hAnsi="宋体" w:eastAsia="黑体" w:cs="宋体"/>
                <w:b/>
                <w:bCs/>
                <w:color w:val="auto"/>
                <w:szCs w:val="21"/>
                <w:highlight w:val="none"/>
                <w:lang w:val="en-US" w:eastAsia="zh-CN"/>
              </w:rPr>
            </w:pPr>
            <w:r>
              <w:rPr>
                <w:rFonts w:hint="eastAsia" w:ascii="黑体" w:hAnsi="黑体" w:eastAsia="黑体" w:cs="黑体"/>
                <w:b/>
                <w:bCs/>
                <w:color w:val="auto"/>
                <w:szCs w:val="21"/>
                <w:highlight w:val="none"/>
              </w:rPr>
              <w:t>数据互通</w:t>
            </w:r>
            <w:r>
              <w:rPr>
                <w:rFonts w:hint="eastAsia" w:ascii="黑体" w:hAnsi="黑体" w:eastAsia="黑体" w:cs="黑体"/>
                <w:b/>
                <w:bCs/>
                <w:color w:val="auto"/>
                <w:szCs w:val="21"/>
                <w:highlight w:val="none"/>
                <w:lang w:eastAsia="zh-CN"/>
              </w:rPr>
              <w:t>开发</w:t>
            </w:r>
          </w:p>
        </w:tc>
        <w:tc>
          <w:tcPr>
            <w:tcW w:w="3960" w:type="dxa"/>
            <w:vAlign w:val="center"/>
          </w:tcPr>
          <w:p>
            <w:pPr>
              <w:widowControl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OA系统的招采信息同步到招采系统，招采系统结果公示后数据同步到OA系统</w:t>
            </w:r>
          </w:p>
        </w:tc>
        <w:tc>
          <w:tcPr>
            <w:tcW w:w="963" w:type="dxa"/>
            <w:vAlign w:val="center"/>
          </w:tcPr>
          <w:p>
            <w:pPr>
              <w:widowControl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w:t>
            </w:r>
          </w:p>
        </w:tc>
        <w:tc>
          <w:tcPr>
            <w:tcW w:w="1464" w:type="dxa"/>
            <w:vAlign w:val="center"/>
          </w:tcPr>
          <w:p>
            <w:pPr>
              <w:widowControl w:val="0"/>
              <w:jc w:val="center"/>
              <w:rPr>
                <w:rFonts w:hint="eastAsia"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29" w:type="dxa"/>
            <w:vAlign w:val="center"/>
          </w:tcPr>
          <w:p>
            <w:pPr>
              <w:widowControl w:val="0"/>
              <w:jc w:val="center"/>
              <w:rPr>
                <w:rFonts w:hint="eastAsia" w:ascii="黑体" w:hAnsi="黑体" w:eastAsia="黑体" w:cs="黑体"/>
                <w:b/>
                <w:bCs/>
                <w:color w:val="auto"/>
                <w:szCs w:val="21"/>
                <w:highlight w:val="none"/>
                <w:lang w:eastAsia="zh-CN"/>
              </w:rPr>
            </w:pPr>
            <w:r>
              <w:rPr>
                <w:rFonts w:hint="eastAsia" w:ascii="黑体" w:hAnsi="黑体" w:eastAsia="黑体" w:cs="黑体"/>
                <w:b/>
                <w:bCs/>
                <w:color w:val="auto"/>
                <w:szCs w:val="21"/>
                <w:highlight w:val="none"/>
              </w:rPr>
              <w:t>培训</w:t>
            </w:r>
            <w:r>
              <w:rPr>
                <w:rFonts w:hint="eastAsia" w:ascii="黑体" w:hAnsi="黑体" w:eastAsia="黑体" w:cs="黑体"/>
                <w:b/>
                <w:bCs/>
                <w:color w:val="auto"/>
                <w:szCs w:val="21"/>
                <w:highlight w:val="none"/>
                <w:lang w:eastAsia="zh-CN"/>
              </w:rPr>
              <w:t>费用</w:t>
            </w:r>
          </w:p>
        </w:tc>
        <w:tc>
          <w:tcPr>
            <w:tcW w:w="3960" w:type="dxa"/>
            <w:vAlign w:val="center"/>
          </w:tcPr>
          <w:p>
            <w:pPr>
              <w:widowControl w:val="0"/>
              <w:jc w:val="left"/>
              <w:rPr>
                <w:rFonts w:hint="default" w:ascii="黑体" w:hAnsi="黑体" w:eastAsia="黑体" w:cs="黑体"/>
                <w:color w:val="auto"/>
                <w:szCs w:val="21"/>
                <w:highlight w:val="none"/>
                <w:lang w:val="en-US" w:eastAsia="zh-CN"/>
              </w:rPr>
            </w:pPr>
            <w:r>
              <w:rPr>
                <w:rFonts w:hint="eastAsia" w:ascii="宋体" w:hAnsi="宋体" w:eastAsia="宋体" w:cs="宋体"/>
                <w:color w:val="auto"/>
                <w:szCs w:val="21"/>
                <w:highlight w:val="none"/>
                <w:lang w:val="en-US" w:eastAsia="zh-CN"/>
              </w:rPr>
              <w:t>线下集中培训1次；工作日网络远程咨询指导培训支持；管理员专门线下培训</w:t>
            </w:r>
          </w:p>
        </w:tc>
        <w:tc>
          <w:tcPr>
            <w:tcW w:w="963" w:type="dxa"/>
            <w:vAlign w:val="center"/>
          </w:tcPr>
          <w:p>
            <w:pPr>
              <w:widowControl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w:t>
            </w:r>
          </w:p>
        </w:tc>
        <w:tc>
          <w:tcPr>
            <w:tcW w:w="1464" w:type="dxa"/>
            <w:vAlign w:val="center"/>
          </w:tcPr>
          <w:p>
            <w:pPr>
              <w:widowControl w:val="0"/>
              <w:jc w:val="center"/>
              <w:rPr>
                <w:rFonts w:hint="eastAsia"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9" w:type="dxa"/>
            <w:vAlign w:val="center"/>
          </w:tcPr>
          <w:p>
            <w:pPr>
              <w:widowControl w:val="0"/>
              <w:jc w:val="center"/>
              <w:rPr>
                <w:rFonts w:hint="eastAsia" w:ascii="宋体" w:hAnsi="宋体" w:eastAsia="宋体" w:cs="宋体"/>
                <w:b/>
                <w:bCs/>
                <w:color w:val="auto"/>
                <w:szCs w:val="21"/>
                <w:highlight w:val="none"/>
              </w:rPr>
            </w:pPr>
            <w:r>
              <w:rPr>
                <w:rFonts w:hint="eastAsia" w:ascii="宋体" w:hAnsi="宋体" w:eastAsia="宋体" w:cs="宋体"/>
                <w:color w:val="auto"/>
                <w:kern w:val="0"/>
                <w:sz w:val="24"/>
                <w:highlight w:val="none"/>
                <w:lang w:eastAsia="zh-CN"/>
              </w:rPr>
              <w:t>以上开发费小计（已含第一年服务器租赁费）</w:t>
            </w:r>
          </w:p>
        </w:tc>
        <w:tc>
          <w:tcPr>
            <w:tcW w:w="3960" w:type="dxa"/>
            <w:vAlign w:val="center"/>
          </w:tcPr>
          <w:p>
            <w:pPr>
              <w:widowControl w:val="0"/>
              <w:jc w:val="center"/>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招标采购系统</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工程管理系统OA</w:t>
            </w:r>
            <w:r>
              <w:rPr>
                <w:rFonts w:hint="eastAsia" w:ascii="宋体" w:hAnsi="宋体" w:eastAsia="宋体" w:cs="宋体"/>
                <w:b/>
                <w:bCs/>
                <w:color w:val="auto"/>
                <w:szCs w:val="21"/>
                <w:highlight w:val="none"/>
                <w:lang w:eastAsia="zh-CN"/>
              </w:rPr>
              <w:t>办公</w:t>
            </w:r>
            <w:r>
              <w:rPr>
                <w:rFonts w:hint="eastAsia" w:ascii="宋体" w:hAnsi="宋体" w:eastAsia="宋体" w:cs="宋体"/>
                <w:b/>
                <w:bCs/>
                <w:color w:val="auto"/>
                <w:szCs w:val="21"/>
                <w:highlight w:val="none"/>
              </w:rPr>
              <w:t>系统</w:t>
            </w:r>
            <w:r>
              <w:rPr>
                <w:rFonts w:hint="eastAsia" w:ascii="宋体" w:hAnsi="宋体" w:eastAsia="宋体" w:cs="宋体"/>
                <w:b/>
                <w:bCs/>
                <w:color w:val="auto"/>
                <w:szCs w:val="21"/>
                <w:highlight w:val="none"/>
                <w:lang w:eastAsia="zh-CN"/>
              </w:rPr>
              <w:t>、</w:t>
            </w:r>
            <w:r>
              <w:rPr>
                <w:rFonts w:hint="eastAsia" w:ascii="黑体" w:hAnsi="黑体" w:eastAsia="黑体" w:cs="黑体"/>
                <w:b/>
                <w:bCs/>
                <w:color w:val="auto"/>
                <w:szCs w:val="21"/>
                <w:highlight w:val="none"/>
              </w:rPr>
              <w:t>数据互通</w:t>
            </w:r>
            <w:r>
              <w:rPr>
                <w:rFonts w:hint="eastAsia" w:ascii="黑体" w:hAnsi="黑体" w:eastAsia="黑体" w:cs="黑体"/>
                <w:b/>
                <w:bCs/>
                <w:color w:val="auto"/>
                <w:szCs w:val="21"/>
                <w:highlight w:val="none"/>
                <w:lang w:eastAsia="zh-CN"/>
              </w:rPr>
              <w:t>开发、</w:t>
            </w:r>
            <w:r>
              <w:rPr>
                <w:rFonts w:hint="eastAsia" w:ascii="黑体" w:hAnsi="黑体" w:eastAsia="黑体" w:cs="黑体"/>
                <w:b/>
                <w:bCs/>
                <w:color w:val="auto"/>
                <w:szCs w:val="21"/>
                <w:highlight w:val="none"/>
              </w:rPr>
              <w:t>培训</w:t>
            </w:r>
            <w:r>
              <w:rPr>
                <w:rFonts w:hint="eastAsia" w:ascii="黑体" w:hAnsi="黑体" w:eastAsia="黑体" w:cs="黑体"/>
                <w:b/>
                <w:bCs/>
                <w:color w:val="auto"/>
                <w:szCs w:val="21"/>
                <w:highlight w:val="none"/>
                <w:lang w:eastAsia="zh-CN"/>
              </w:rPr>
              <w:t>费用</w:t>
            </w:r>
            <w:r>
              <w:rPr>
                <w:rFonts w:hint="eastAsia" w:ascii="宋体" w:hAnsi="宋体" w:eastAsia="宋体" w:cs="宋体"/>
                <w:b/>
                <w:bCs/>
                <w:color w:val="auto"/>
                <w:szCs w:val="21"/>
                <w:highlight w:val="none"/>
                <w:lang w:eastAsia="zh-CN"/>
              </w:rPr>
              <w:t>的合计</w:t>
            </w:r>
          </w:p>
        </w:tc>
        <w:tc>
          <w:tcPr>
            <w:tcW w:w="963" w:type="dxa"/>
            <w:vAlign w:val="center"/>
          </w:tcPr>
          <w:p>
            <w:pPr>
              <w:widowControl w:val="0"/>
              <w:jc w:val="center"/>
              <w:rPr>
                <w:rFonts w:hint="eastAsia" w:ascii="宋体" w:hAnsi="宋体" w:eastAsia="宋体" w:cs="宋体"/>
                <w:color w:val="auto"/>
                <w:szCs w:val="21"/>
                <w:highlight w:val="none"/>
                <w:lang w:eastAsia="zh-CN"/>
              </w:rPr>
            </w:pPr>
          </w:p>
        </w:tc>
        <w:tc>
          <w:tcPr>
            <w:tcW w:w="1464" w:type="dxa"/>
            <w:vAlign w:val="center"/>
          </w:tcPr>
          <w:p>
            <w:pPr>
              <w:widowControl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29" w:type="dxa"/>
            <w:vAlign w:val="center"/>
          </w:tcPr>
          <w:p>
            <w:pPr>
              <w:widowControl w:val="0"/>
              <w:jc w:val="center"/>
              <w:rPr>
                <w:rFonts w:hint="eastAsia" w:ascii="宋体" w:hAnsi="宋体" w:eastAsia="宋体" w:cs="宋体"/>
                <w:b/>
                <w:bCs/>
                <w:color w:val="auto"/>
                <w:sz w:val="22"/>
                <w:szCs w:val="21"/>
                <w:highlight w:val="none"/>
                <w:lang w:val="en-US" w:eastAsia="zh-CN" w:bidi="ar-SA"/>
              </w:rPr>
            </w:pPr>
            <w:r>
              <w:rPr>
                <w:rFonts w:hint="eastAsia" w:ascii="宋体" w:hAnsi="宋体" w:eastAsia="宋体" w:cs="宋体"/>
                <w:b/>
                <w:bCs/>
                <w:color w:val="auto"/>
                <w:szCs w:val="21"/>
                <w:highlight w:val="none"/>
              </w:rPr>
              <w:t>服务器租赁</w:t>
            </w:r>
          </w:p>
        </w:tc>
        <w:tc>
          <w:tcPr>
            <w:tcW w:w="3960" w:type="dxa"/>
            <w:vAlign w:val="center"/>
          </w:tcPr>
          <w:p>
            <w:pPr>
              <w:widowControl w:val="0"/>
              <w:jc w:val="center"/>
              <w:rPr>
                <w:rFonts w:hint="eastAsia" w:ascii="宋体" w:hAnsi="宋体" w:eastAsia="宋体" w:cs="宋体"/>
                <w:color w:val="auto"/>
                <w:sz w:val="22"/>
                <w:szCs w:val="21"/>
                <w:highlight w:val="none"/>
                <w:lang w:val="en-US" w:eastAsia="en-US" w:bidi="ar-SA"/>
              </w:rPr>
            </w:pPr>
            <w:r>
              <w:rPr>
                <w:rFonts w:hint="eastAsia" w:ascii="宋体" w:hAnsi="宋体" w:eastAsia="宋体" w:cs="宋体"/>
                <w:color w:val="auto"/>
                <w:szCs w:val="21"/>
                <w:highlight w:val="none"/>
              </w:rPr>
              <w:t>阿里云4核8G</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6M带宽100G硬盘</w:t>
            </w:r>
          </w:p>
        </w:tc>
        <w:tc>
          <w:tcPr>
            <w:tcW w:w="963" w:type="dxa"/>
            <w:vAlign w:val="center"/>
          </w:tcPr>
          <w:p>
            <w:pPr>
              <w:widowControl w:val="0"/>
              <w:jc w:val="center"/>
              <w:rPr>
                <w:rFonts w:hint="eastAsia" w:ascii="宋体" w:hAnsi="宋体" w:eastAsia="宋体" w:cs="宋体"/>
                <w:color w:val="auto"/>
                <w:sz w:val="22"/>
                <w:szCs w:val="21"/>
                <w:highlight w:val="none"/>
                <w:lang w:val="en-US" w:eastAsia="zh-CN" w:bidi="ar-SA"/>
              </w:rPr>
            </w:pPr>
            <w:r>
              <w:rPr>
                <w:rFonts w:hint="eastAsia" w:ascii="宋体" w:hAnsi="宋体" w:eastAsia="宋体" w:cs="宋体"/>
                <w:color w:val="auto"/>
                <w:szCs w:val="21"/>
                <w:highlight w:val="none"/>
              </w:rPr>
              <w:t>1台1年</w:t>
            </w:r>
          </w:p>
        </w:tc>
        <w:tc>
          <w:tcPr>
            <w:tcW w:w="1464" w:type="dxa"/>
            <w:vAlign w:val="center"/>
          </w:tcPr>
          <w:p>
            <w:pPr>
              <w:widowControl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29" w:type="dxa"/>
            <w:vAlign w:val="center"/>
          </w:tcPr>
          <w:p>
            <w:pPr>
              <w:widowControl w:val="0"/>
              <w:jc w:val="center"/>
              <w:rPr>
                <w:rFonts w:hint="eastAsia" w:ascii="宋体" w:hAnsi="宋体" w:eastAsia="宋体" w:cs="宋体"/>
                <w:b/>
                <w:bCs/>
                <w:color w:val="auto"/>
                <w:szCs w:val="21"/>
                <w:highlight w:val="none"/>
              </w:rPr>
            </w:pPr>
            <w:r>
              <w:rPr>
                <w:rFonts w:hint="eastAsia" w:ascii="宋体" w:hAnsi="Courier New" w:eastAsia="宋体" w:cs="Times New Roman"/>
                <w:b/>
                <w:bCs/>
                <w:color w:val="auto"/>
                <w:kern w:val="2"/>
                <w:sz w:val="24"/>
                <w:szCs w:val="20"/>
                <w:highlight w:val="none"/>
                <w:lang w:val="en-US" w:eastAsia="zh-CN"/>
              </w:rPr>
              <w:t>软件维护费</w:t>
            </w:r>
          </w:p>
        </w:tc>
        <w:tc>
          <w:tcPr>
            <w:tcW w:w="3960" w:type="dxa"/>
            <w:vAlign w:val="center"/>
          </w:tcPr>
          <w:p>
            <w:pPr>
              <w:widowControl w:val="0"/>
              <w:jc w:val="center"/>
              <w:rPr>
                <w:rFonts w:hint="default" w:ascii="宋体" w:hAnsi="宋体" w:eastAsia="宋体" w:cs="宋体"/>
                <w:color w:val="auto"/>
                <w:szCs w:val="21"/>
                <w:highlight w:val="none"/>
                <w:u w:val="single"/>
                <w:lang w:val="en-US"/>
              </w:rPr>
            </w:pPr>
            <w:r>
              <w:rPr>
                <w:rFonts w:hint="eastAsia" w:ascii="宋体" w:hAnsi="Courier New" w:eastAsia="宋体" w:cs="Times New Roman"/>
                <w:color w:val="auto"/>
                <w:kern w:val="2"/>
                <w:sz w:val="24"/>
                <w:szCs w:val="20"/>
                <w:highlight w:val="none"/>
                <w:lang w:eastAsia="zh-CN"/>
              </w:rPr>
              <w:t>开发费用总金额</w:t>
            </w:r>
            <w:r>
              <w:rPr>
                <w:rFonts w:hint="eastAsia" w:ascii="宋体" w:hAnsi="Courier New" w:eastAsia="宋体" w:cs="Times New Roman"/>
                <w:color w:val="auto"/>
                <w:kern w:val="2"/>
                <w:sz w:val="24"/>
                <w:szCs w:val="20"/>
                <w:highlight w:val="red"/>
                <w:lang w:eastAsia="zh-CN"/>
              </w:rPr>
              <w:t>的</w:t>
            </w:r>
            <w:r>
              <w:rPr>
                <w:rFonts w:hint="eastAsia" w:ascii="宋体" w:hAnsi="Courier New" w:eastAsia="宋体" w:cs="Times New Roman"/>
                <w:color w:val="auto"/>
                <w:kern w:val="2"/>
                <w:sz w:val="24"/>
                <w:szCs w:val="20"/>
                <w:highlight w:val="none"/>
                <w:u w:val="single"/>
                <w:lang w:val="en-US" w:eastAsia="zh-CN"/>
              </w:rPr>
              <w:t xml:space="preserve">   %</w:t>
            </w:r>
          </w:p>
        </w:tc>
        <w:tc>
          <w:tcPr>
            <w:tcW w:w="963" w:type="dxa"/>
            <w:vAlign w:val="center"/>
          </w:tcPr>
          <w:p>
            <w:pPr>
              <w:widowControl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每年</w:t>
            </w:r>
          </w:p>
        </w:tc>
        <w:tc>
          <w:tcPr>
            <w:tcW w:w="1464" w:type="dxa"/>
            <w:vAlign w:val="center"/>
          </w:tcPr>
          <w:p>
            <w:pPr>
              <w:widowControl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29" w:type="dxa"/>
            <w:vAlign w:val="center"/>
          </w:tcPr>
          <w:p>
            <w:pPr>
              <w:widowControl w:val="0"/>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合计</w:t>
            </w:r>
          </w:p>
        </w:tc>
        <w:tc>
          <w:tcPr>
            <w:tcW w:w="3960" w:type="dxa"/>
            <w:vAlign w:val="center"/>
          </w:tcPr>
          <w:p>
            <w:pPr>
              <w:widowControl w:val="0"/>
              <w:jc w:val="center"/>
              <w:rPr>
                <w:rFonts w:hint="eastAsia" w:ascii="宋体" w:hAnsi="宋体" w:eastAsia="宋体" w:cs="宋体"/>
                <w:color w:val="auto"/>
                <w:szCs w:val="21"/>
                <w:highlight w:val="none"/>
              </w:rPr>
            </w:pPr>
          </w:p>
        </w:tc>
        <w:tc>
          <w:tcPr>
            <w:tcW w:w="963" w:type="dxa"/>
            <w:vAlign w:val="center"/>
          </w:tcPr>
          <w:p>
            <w:pPr>
              <w:widowControl w:val="0"/>
              <w:jc w:val="center"/>
              <w:rPr>
                <w:rFonts w:hint="eastAsia" w:ascii="宋体" w:hAnsi="宋体" w:eastAsia="宋体" w:cs="宋体"/>
                <w:color w:val="auto"/>
                <w:szCs w:val="21"/>
                <w:highlight w:val="none"/>
              </w:rPr>
            </w:pPr>
          </w:p>
        </w:tc>
        <w:tc>
          <w:tcPr>
            <w:tcW w:w="1464" w:type="dxa"/>
            <w:vAlign w:val="center"/>
          </w:tcPr>
          <w:p>
            <w:pPr>
              <w:widowControl w:val="0"/>
              <w:jc w:val="center"/>
              <w:rPr>
                <w:rFonts w:hint="eastAsia" w:ascii="宋体" w:hAnsi="宋体" w:eastAsia="宋体" w:cs="宋体"/>
                <w:color w:val="auto"/>
                <w:szCs w:val="21"/>
                <w:highlight w:val="none"/>
              </w:rPr>
            </w:pPr>
          </w:p>
        </w:tc>
      </w:tr>
    </w:tbl>
    <w:p>
      <w:pPr>
        <w:pStyle w:val="8"/>
        <w:spacing w:line="480" w:lineRule="auto"/>
        <w:ind w:firstLine="482" w:firstLineChars="200"/>
        <w:rPr>
          <w:rFonts w:eastAsiaTheme="minorEastAsia"/>
          <w:b/>
          <w:color w:val="auto"/>
          <w:sz w:val="24"/>
          <w:szCs w:val="24"/>
          <w:highlight w:val="none"/>
        </w:rPr>
      </w:pPr>
      <w:r>
        <w:rPr>
          <w:rFonts w:hint="eastAsia" w:eastAsiaTheme="minorEastAsia"/>
          <w:b/>
          <w:color w:val="auto"/>
          <w:sz w:val="24"/>
          <w:szCs w:val="24"/>
          <w:highlight w:val="none"/>
        </w:rPr>
        <w:t>2、支付方式：</w:t>
      </w:r>
    </w:p>
    <w:p>
      <w:pPr>
        <w:pStyle w:val="7"/>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（1）合同签订生效后</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天内，甲方向乙方支付</w:t>
      </w:r>
      <w:r>
        <w:rPr>
          <w:rFonts w:hint="eastAsia" w:ascii="宋体" w:hAnsi="宋体" w:cs="宋体"/>
          <w:color w:val="auto"/>
          <w:kern w:val="0"/>
          <w:sz w:val="24"/>
          <w:highlight w:val="none"/>
          <w:lang w:eastAsia="zh-CN"/>
        </w:rPr>
        <w:t>开发</w:t>
      </w:r>
      <w:r>
        <w:rPr>
          <w:rFonts w:hint="eastAsia" w:ascii="宋体" w:hAnsi="宋体" w:eastAsia="宋体" w:cs="宋体"/>
          <w:color w:val="auto"/>
          <w:kern w:val="0"/>
          <w:sz w:val="24"/>
          <w:highlight w:val="none"/>
          <w:lang w:eastAsia="zh-CN"/>
        </w:rPr>
        <w:t>费</w:t>
      </w:r>
      <w:r>
        <w:rPr>
          <w:rFonts w:hint="eastAsia" w:ascii="宋体" w:hAnsi="宋体" w:cs="宋体"/>
          <w:color w:val="auto"/>
          <w:kern w:val="0"/>
          <w:sz w:val="24"/>
          <w:highlight w:val="none"/>
          <w:lang w:eastAsia="zh-CN"/>
        </w:rPr>
        <w:t>合同</w:t>
      </w:r>
      <w:r>
        <w:rPr>
          <w:rFonts w:hint="eastAsia" w:ascii="宋体" w:hAnsi="宋体" w:cs="宋体"/>
          <w:color w:val="auto"/>
          <w:kern w:val="0"/>
          <w:sz w:val="24"/>
          <w:highlight w:val="none"/>
        </w:rPr>
        <w:t>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6</w:t>
      </w:r>
      <w:r>
        <w:rPr>
          <w:rFonts w:hint="eastAsia" w:ascii="宋体" w:hAnsi="宋体" w:cs="宋体"/>
          <w:color w:val="auto"/>
          <w:kern w:val="0"/>
          <w:sz w:val="24"/>
          <w:highlight w:val="none"/>
          <w:u w:val="single"/>
        </w:rPr>
        <w:t>0%</w:t>
      </w:r>
      <w:r>
        <w:rPr>
          <w:rFonts w:hint="eastAsia" w:ascii="宋体" w:hAnsi="宋体" w:cs="宋体"/>
          <w:color w:val="auto"/>
          <w:kern w:val="0"/>
          <w:sz w:val="24"/>
          <w:highlight w:val="none"/>
        </w:rPr>
        <w:t>的款项，即人民币：</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元整（大写：</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w:t>
      </w:r>
    </w:p>
    <w:p>
      <w:pPr>
        <w:pStyle w:val="7"/>
        <w:spacing w:line="360" w:lineRule="auto"/>
        <w:ind w:firstLine="480"/>
        <w:rPr>
          <w:rFonts w:hint="eastAsia" w:eastAsiaTheme="minorEastAsia"/>
          <w:color w:val="auto"/>
          <w:sz w:val="24"/>
          <w:szCs w:val="24"/>
          <w:highlight w:val="none"/>
        </w:rPr>
      </w:pPr>
      <w:r>
        <w:rPr>
          <w:rFonts w:hint="eastAsia" w:ascii="宋体" w:hAnsi="宋体" w:cs="宋体"/>
          <w:color w:val="auto"/>
          <w:kern w:val="0"/>
          <w:sz w:val="24"/>
          <w:highlight w:val="none"/>
        </w:rPr>
        <w:t>（2）</w:t>
      </w:r>
      <w:r>
        <w:rPr>
          <w:rFonts w:hint="eastAsia" w:eastAsiaTheme="minorEastAsia"/>
          <w:color w:val="auto"/>
          <w:sz w:val="24"/>
          <w:szCs w:val="24"/>
          <w:highlight w:val="none"/>
        </w:rPr>
        <w:t>全部服务安装调试完毕，</w:t>
      </w:r>
      <w:r>
        <w:rPr>
          <w:rFonts w:hint="eastAsia" w:ascii="宋体" w:hAnsi="宋体" w:cs="宋体"/>
          <w:color w:val="auto"/>
          <w:kern w:val="0"/>
          <w:sz w:val="24"/>
          <w:highlight w:val="none"/>
        </w:rPr>
        <w:t>验收合格后</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天内，</w:t>
      </w:r>
      <w:r>
        <w:rPr>
          <w:rFonts w:hint="eastAsia" w:eastAsiaTheme="minorEastAsia"/>
          <w:color w:val="auto"/>
          <w:sz w:val="24"/>
          <w:szCs w:val="24"/>
          <w:highlight w:val="none"/>
        </w:rPr>
        <w:t>甲方向乙方支付</w:t>
      </w:r>
      <w:r>
        <w:rPr>
          <w:rFonts w:hint="eastAsia" w:ascii="宋体" w:hAnsi="宋体" w:cs="宋体"/>
          <w:color w:val="auto"/>
          <w:kern w:val="0"/>
          <w:sz w:val="24"/>
          <w:highlight w:val="none"/>
          <w:lang w:eastAsia="zh-CN"/>
        </w:rPr>
        <w:t>开发</w:t>
      </w:r>
      <w:r>
        <w:rPr>
          <w:rFonts w:hint="eastAsia" w:ascii="宋体" w:hAnsi="宋体" w:eastAsia="宋体" w:cs="宋体"/>
          <w:color w:val="auto"/>
          <w:kern w:val="0"/>
          <w:sz w:val="24"/>
          <w:highlight w:val="none"/>
          <w:lang w:eastAsia="zh-CN"/>
        </w:rPr>
        <w:t>费</w:t>
      </w:r>
      <w:r>
        <w:rPr>
          <w:rFonts w:hint="eastAsia" w:eastAsiaTheme="minorEastAsia"/>
          <w:color w:val="auto"/>
          <w:sz w:val="24"/>
          <w:szCs w:val="24"/>
          <w:highlight w:val="none"/>
        </w:rPr>
        <w:t>合同总金额的</w:t>
      </w:r>
      <w:r>
        <w:rPr>
          <w:rFonts w:hint="eastAsia" w:ascii="宋体" w:hAnsi="宋体" w:cs="宋体" w:eastAsiaTheme="minorEastAsia"/>
          <w:color w:val="auto"/>
          <w:kern w:val="0"/>
          <w:sz w:val="24"/>
          <w:highlight w:val="none"/>
          <w:u w:val="single"/>
          <w:lang w:val="en-US" w:eastAsia="zh-CN"/>
        </w:rPr>
        <w:t>38</w:t>
      </w:r>
      <w:r>
        <w:rPr>
          <w:rFonts w:hint="eastAsia" w:ascii="宋体" w:hAnsi="宋体" w:cs="宋体"/>
          <w:color w:val="auto"/>
          <w:kern w:val="0"/>
          <w:sz w:val="24"/>
          <w:highlight w:val="none"/>
          <w:u w:val="single"/>
        </w:rPr>
        <w:t xml:space="preserve">% </w:t>
      </w:r>
      <w:r>
        <w:rPr>
          <w:rFonts w:hint="eastAsia" w:eastAsiaTheme="minorEastAsia"/>
          <w:color w:val="auto"/>
          <w:sz w:val="24"/>
          <w:szCs w:val="24"/>
          <w:highlight w:val="none"/>
        </w:rPr>
        <w:t>的款项，即</w:t>
      </w:r>
      <w:r>
        <w:rPr>
          <w:rFonts w:hint="eastAsia" w:ascii="宋体" w:hAnsi="宋体" w:cs="宋体"/>
          <w:color w:val="auto"/>
          <w:kern w:val="0"/>
          <w:sz w:val="24"/>
          <w:highlight w:val="none"/>
        </w:rPr>
        <w:t>人民币：</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元整（大写：</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w:t>
      </w:r>
      <w:r>
        <w:rPr>
          <w:rFonts w:hint="eastAsia" w:eastAsiaTheme="minorEastAsia"/>
          <w:color w:val="auto"/>
          <w:sz w:val="24"/>
          <w:szCs w:val="24"/>
          <w:highlight w:val="none"/>
        </w:rPr>
        <w:t>；</w:t>
      </w:r>
    </w:p>
    <w:p>
      <w:pPr>
        <w:pStyle w:val="7"/>
        <w:spacing w:line="360" w:lineRule="auto"/>
        <w:ind w:firstLine="480"/>
        <w:rPr>
          <w:rFonts w:hint="default" w:eastAsiaTheme="minorEastAsia"/>
          <w:color w:val="auto"/>
          <w:sz w:val="24"/>
          <w:szCs w:val="24"/>
          <w:highlight w:val="none"/>
          <w:lang w:val="en-US" w:eastAsia="zh-CN"/>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剩余</w:t>
      </w:r>
      <w:r>
        <w:rPr>
          <w:rFonts w:hint="eastAsia" w:ascii="宋体" w:hAnsi="宋体" w:cs="宋体"/>
          <w:color w:val="auto"/>
          <w:kern w:val="0"/>
          <w:sz w:val="24"/>
          <w:highlight w:val="none"/>
          <w:lang w:val="en-US" w:eastAsia="zh-CN"/>
        </w:rPr>
        <w:t>2%质保金，</w:t>
      </w:r>
      <w:r>
        <w:rPr>
          <w:rFonts w:hint="eastAsia" w:ascii="宋体" w:hAnsi="宋体" w:cs="宋体"/>
          <w:color w:val="auto"/>
          <w:kern w:val="0"/>
          <w:sz w:val="24"/>
          <w:highlight w:val="none"/>
          <w:lang w:eastAsia="zh-CN"/>
        </w:rPr>
        <w:t>合同满一年，无质量问题和售后问题，</w:t>
      </w:r>
      <w:r>
        <w:rPr>
          <w:rFonts w:hint="eastAsia" w:ascii="宋体" w:hAnsi="宋体" w:cs="宋体"/>
          <w:color w:val="auto"/>
          <w:kern w:val="0"/>
          <w:sz w:val="24"/>
          <w:highlight w:val="none"/>
          <w:lang w:val="en-US" w:eastAsia="zh-CN"/>
        </w:rPr>
        <w:t>质保期满15日内</w:t>
      </w:r>
      <w:r>
        <w:rPr>
          <w:rFonts w:hint="eastAsia" w:eastAsiaTheme="minorEastAsia"/>
          <w:color w:val="auto"/>
          <w:sz w:val="24"/>
          <w:szCs w:val="24"/>
          <w:highlight w:val="none"/>
        </w:rPr>
        <w:t>甲方向乙方</w:t>
      </w:r>
      <w:r>
        <w:rPr>
          <w:rFonts w:hint="eastAsia" w:eastAsiaTheme="minorEastAsia"/>
          <w:color w:val="auto"/>
          <w:sz w:val="24"/>
          <w:szCs w:val="24"/>
          <w:highlight w:val="none"/>
          <w:lang w:val="en-US" w:eastAsia="zh-CN"/>
        </w:rPr>
        <w:t>一次性无息支付质保金</w:t>
      </w:r>
      <w:r>
        <w:rPr>
          <w:rFonts w:hint="eastAsia" w:eastAsiaTheme="minorEastAsia"/>
          <w:color w:val="auto"/>
          <w:sz w:val="24"/>
          <w:szCs w:val="24"/>
          <w:highlight w:val="none"/>
        </w:rPr>
        <w:t>；</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Courier New" w:eastAsia="宋体" w:cs="Times New Roman"/>
          <w:color w:val="auto"/>
          <w:kern w:val="2"/>
          <w:sz w:val="24"/>
          <w:szCs w:val="20"/>
          <w:highlight w:val="none"/>
          <w:lang w:eastAsia="zh-CN"/>
        </w:rPr>
        <w:t>（</w:t>
      </w:r>
      <w:r>
        <w:rPr>
          <w:rFonts w:hint="eastAsia" w:ascii="宋体" w:hAnsi="Courier New" w:eastAsia="宋体" w:cs="Times New Roman"/>
          <w:color w:val="auto"/>
          <w:kern w:val="2"/>
          <w:sz w:val="24"/>
          <w:szCs w:val="20"/>
          <w:highlight w:val="none"/>
          <w:lang w:val="en-US" w:eastAsia="zh-CN"/>
        </w:rPr>
        <w:t>4）软件维护费：</w:t>
      </w:r>
      <w:r>
        <w:rPr>
          <w:rFonts w:hint="eastAsia" w:ascii="宋体" w:hAnsi="Courier New" w:eastAsia="宋体" w:cs="Times New Roman"/>
          <w:color w:val="auto"/>
          <w:kern w:val="2"/>
          <w:sz w:val="24"/>
          <w:szCs w:val="20"/>
          <w:highlight w:val="none"/>
          <w:lang w:eastAsia="zh-CN"/>
        </w:rPr>
        <w:t>乙方首年提供免费维护，</w:t>
      </w:r>
      <w:r>
        <w:rPr>
          <w:rFonts w:hint="eastAsia" w:ascii="宋体" w:hAnsi="Courier New" w:eastAsia="宋体" w:cs="Times New Roman"/>
          <w:color w:val="auto"/>
          <w:kern w:val="2"/>
          <w:sz w:val="24"/>
          <w:szCs w:val="20"/>
          <w:highlight w:val="none"/>
          <w:lang w:val="en-US" w:eastAsia="zh-CN"/>
        </w:rPr>
        <w:t>后期维护费需按年支付。前一年维护期届满</w:t>
      </w:r>
      <w:r>
        <w:rPr>
          <w:rFonts w:hint="eastAsia" w:ascii="宋体" w:hAnsi="Courier New" w:eastAsia="宋体" w:cs="Times New Roman"/>
          <w:color w:val="auto"/>
          <w:kern w:val="2"/>
          <w:sz w:val="24"/>
          <w:szCs w:val="20"/>
          <w:highlight w:val="none"/>
          <w:lang w:eastAsia="zh-CN"/>
        </w:rPr>
        <w:t>前</w:t>
      </w:r>
      <w:r>
        <w:rPr>
          <w:rFonts w:hint="eastAsia" w:ascii="宋体" w:hAnsi="Courier New" w:eastAsia="宋体" w:cs="Times New Roman"/>
          <w:color w:val="auto"/>
          <w:kern w:val="2"/>
          <w:sz w:val="24"/>
          <w:szCs w:val="20"/>
          <w:highlight w:val="none"/>
          <w:u w:val="single"/>
          <w:lang w:val="en-US" w:eastAsia="zh-CN"/>
        </w:rPr>
        <w:t xml:space="preserve">   </w:t>
      </w:r>
      <w:r>
        <w:rPr>
          <w:rFonts w:hint="eastAsia" w:ascii="宋体" w:hAnsi="Courier New" w:eastAsia="宋体" w:cs="Times New Roman"/>
          <w:color w:val="auto"/>
          <w:kern w:val="2"/>
          <w:sz w:val="24"/>
          <w:szCs w:val="20"/>
          <w:highlight w:val="none"/>
          <w:lang w:val="en-US" w:eastAsia="zh-CN"/>
        </w:rPr>
        <w:t>个工作日支付</w:t>
      </w:r>
      <w:r>
        <w:rPr>
          <w:rFonts w:hint="eastAsia" w:ascii="宋体" w:hAnsi="Courier New" w:eastAsia="宋体" w:cs="Times New Roman"/>
          <w:color w:val="auto"/>
          <w:kern w:val="2"/>
          <w:sz w:val="24"/>
          <w:szCs w:val="20"/>
          <w:highlight w:val="none"/>
          <w:lang w:eastAsia="zh-CN"/>
        </w:rPr>
        <w:t>本合同开发费用总金额的</w:t>
      </w:r>
      <w:r>
        <w:rPr>
          <w:rFonts w:hint="eastAsia" w:ascii="宋体" w:hAnsi="Courier New" w:eastAsia="宋体" w:cs="Times New Roman"/>
          <w:color w:val="auto"/>
          <w:kern w:val="2"/>
          <w:sz w:val="24"/>
          <w:szCs w:val="20"/>
          <w:highlight w:val="none"/>
          <w:u w:val="single"/>
          <w:lang w:val="en-US" w:eastAsia="zh-CN"/>
        </w:rPr>
        <w:t xml:space="preserve">    </w:t>
      </w:r>
      <w:r>
        <w:rPr>
          <w:rFonts w:hint="eastAsia" w:ascii="宋体" w:hAnsi="Courier New" w:eastAsia="宋体" w:cs="Times New Roman"/>
          <w:color w:val="auto"/>
          <w:kern w:val="2"/>
          <w:sz w:val="24"/>
          <w:szCs w:val="20"/>
          <w:highlight w:val="none"/>
          <w:lang w:val="en-US" w:eastAsia="zh-CN"/>
        </w:rPr>
        <w:t>%作为新一年维护费，</w:t>
      </w:r>
      <w:r>
        <w:rPr>
          <w:rFonts w:hint="eastAsia" w:eastAsiaTheme="minorEastAsia"/>
          <w:color w:val="auto"/>
          <w:sz w:val="24"/>
          <w:szCs w:val="24"/>
          <w:highlight w:val="none"/>
        </w:rPr>
        <w:t>即</w:t>
      </w:r>
      <w:r>
        <w:rPr>
          <w:rFonts w:hint="eastAsia" w:ascii="宋体" w:hAnsi="宋体" w:cs="宋体"/>
          <w:color w:val="auto"/>
          <w:kern w:val="0"/>
          <w:sz w:val="24"/>
          <w:highlight w:val="none"/>
        </w:rPr>
        <w:t>人民币：</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元整（大写：</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w:t>
      </w:r>
      <w:r>
        <w:rPr>
          <w:rFonts w:hint="eastAsia" w:ascii="宋体" w:hAnsi="宋体" w:eastAsia="宋体" w:cs="宋体"/>
          <w:color w:val="auto"/>
          <w:kern w:val="0"/>
          <w:sz w:val="24"/>
          <w:highlight w:val="none"/>
          <w:lang w:eastAsia="zh-CN"/>
        </w:rPr>
        <w:t>。</w:t>
      </w:r>
    </w:p>
    <w:p>
      <w:pPr>
        <w:spacing w:line="360" w:lineRule="auto"/>
        <w:ind w:firstLine="480" w:firstLineChars="200"/>
        <w:rPr>
          <w:rFonts w:hint="eastAsia" w:ascii="宋体" w:hAnsi="宋体" w:cs="宋体"/>
          <w:color w:val="auto"/>
          <w:sz w:val="24"/>
          <w:szCs w:val="20"/>
          <w:highlight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5)服务器租赁费：乙方开发费中已含首年服务器租赁，后期租赁需按年支付，前一年租赁期届满前</w:t>
      </w:r>
      <w:r>
        <w:rPr>
          <w:rFonts w:hint="eastAsia" w:ascii="宋体" w:hAnsi="Courier New" w:eastAsia="宋体" w:cs="Times New Roman"/>
          <w:color w:val="auto"/>
          <w:kern w:val="2"/>
          <w:sz w:val="24"/>
          <w:szCs w:val="20"/>
          <w:highlight w:val="none"/>
          <w:u w:val="single"/>
          <w:lang w:val="en-US" w:eastAsia="zh-CN"/>
        </w:rPr>
        <w:t xml:space="preserve">   </w:t>
      </w:r>
      <w:r>
        <w:rPr>
          <w:rFonts w:hint="eastAsia" w:ascii="宋体" w:hAnsi="Courier New" w:eastAsia="宋体" w:cs="Times New Roman"/>
          <w:color w:val="auto"/>
          <w:kern w:val="2"/>
          <w:sz w:val="24"/>
          <w:szCs w:val="20"/>
          <w:highlight w:val="none"/>
          <w:lang w:val="en-US" w:eastAsia="zh-CN"/>
        </w:rPr>
        <w:t>个工作日支付新一年租赁费，</w:t>
      </w:r>
      <w:r>
        <w:rPr>
          <w:rFonts w:hint="eastAsia" w:eastAsiaTheme="minorEastAsia"/>
          <w:color w:val="auto"/>
          <w:sz w:val="24"/>
          <w:szCs w:val="24"/>
          <w:highlight w:val="none"/>
        </w:rPr>
        <w:t>即</w:t>
      </w:r>
      <w:r>
        <w:rPr>
          <w:rFonts w:hint="eastAsia" w:ascii="宋体" w:hAnsi="宋体" w:cs="宋体"/>
          <w:color w:val="auto"/>
          <w:kern w:val="0"/>
          <w:sz w:val="24"/>
          <w:highlight w:val="none"/>
        </w:rPr>
        <w:t>人民币：</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元整（大写：</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sz w:val="24"/>
          <w:szCs w:val="20"/>
          <w:highlight w:val="none"/>
          <w:lang w:eastAsia="zh-CN"/>
        </w:rPr>
        <w:t>。</w:t>
      </w:r>
    </w:p>
    <w:p>
      <w:pPr>
        <w:pStyle w:val="8"/>
        <w:spacing w:line="480" w:lineRule="auto"/>
        <w:ind w:firstLine="482" w:firstLineChars="200"/>
        <w:rPr>
          <w:rFonts w:hint="default" w:eastAsiaTheme="minorEastAsia"/>
          <w:b/>
          <w:color w:val="auto"/>
          <w:sz w:val="24"/>
          <w:szCs w:val="24"/>
          <w:highlight w:val="none"/>
          <w:lang w:val="en-US" w:eastAsia="zh-CN"/>
        </w:rPr>
      </w:pPr>
      <w:r>
        <w:rPr>
          <w:rFonts w:hint="eastAsia" w:eastAsiaTheme="minorEastAsia"/>
          <w:b/>
          <w:color w:val="auto"/>
          <w:sz w:val="24"/>
          <w:szCs w:val="24"/>
          <w:highlight w:val="none"/>
          <w:lang w:eastAsia="zh-CN"/>
        </w:rPr>
        <w:t>（</w:t>
      </w:r>
      <w:r>
        <w:rPr>
          <w:rFonts w:hint="eastAsia" w:eastAsiaTheme="minorEastAsia"/>
          <w:b/>
          <w:color w:val="auto"/>
          <w:sz w:val="24"/>
          <w:szCs w:val="24"/>
          <w:highlight w:val="none"/>
          <w:lang w:val="en-US" w:eastAsia="zh-CN"/>
        </w:rPr>
        <w:t>6</w:t>
      </w:r>
      <w:r>
        <w:rPr>
          <w:rFonts w:hint="eastAsia" w:eastAsiaTheme="minorEastAsia"/>
          <w:b/>
          <w:color w:val="auto"/>
          <w:sz w:val="24"/>
          <w:szCs w:val="24"/>
          <w:highlight w:val="none"/>
          <w:lang w:eastAsia="zh-CN"/>
        </w:rPr>
        <w:t>）</w:t>
      </w:r>
      <w:r>
        <w:rPr>
          <w:rFonts w:hint="eastAsia" w:eastAsiaTheme="minorEastAsia"/>
          <w:b w:val="0"/>
          <w:bCs/>
          <w:color w:val="auto"/>
          <w:sz w:val="24"/>
          <w:szCs w:val="24"/>
          <w:highlight w:val="none"/>
          <w:lang w:val="en-US" w:eastAsia="zh-CN"/>
        </w:rPr>
        <w:t>本合同约定的付款时间从符合本合同约定付款条件后，甲方收到乙方开具的合法有效的增值税专用发票后开始计算，若乙方提供的增值税发票不符合甲方要求，甲方有权利不向乙方付款，且乙方不得追究甲方责任。</w:t>
      </w:r>
    </w:p>
    <w:p>
      <w:pPr>
        <w:pStyle w:val="8"/>
        <w:spacing w:line="480" w:lineRule="auto"/>
        <w:ind w:firstLine="482" w:firstLineChars="200"/>
        <w:rPr>
          <w:rFonts w:eastAsiaTheme="minorEastAsia"/>
          <w:b/>
          <w:color w:val="auto"/>
          <w:sz w:val="24"/>
          <w:szCs w:val="24"/>
          <w:highlight w:val="none"/>
        </w:rPr>
      </w:pPr>
      <w:r>
        <w:rPr>
          <w:rFonts w:hint="eastAsia" w:eastAsiaTheme="minorEastAsia"/>
          <w:b/>
          <w:color w:val="auto"/>
          <w:sz w:val="24"/>
          <w:szCs w:val="24"/>
          <w:highlight w:val="none"/>
        </w:rPr>
        <w:t>3、乙方收款账号</w:t>
      </w:r>
    </w:p>
    <w:p>
      <w:pPr>
        <w:pStyle w:val="8"/>
        <w:spacing w:line="360" w:lineRule="auto"/>
        <w:ind w:firstLine="960" w:firstLineChars="400"/>
        <w:rPr>
          <w:color w:val="auto"/>
          <w:sz w:val="24"/>
          <w:szCs w:val="24"/>
          <w:highlight w:val="none"/>
        </w:rPr>
      </w:pPr>
      <w:r>
        <w:rPr>
          <w:rFonts w:hint="eastAsia"/>
          <w:color w:val="auto"/>
          <w:sz w:val="24"/>
          <w:szCs w:val="24"/>
          <w:highlight w:val="none"/>
        </w:rPr>
        <w:t>甲方支付款项应以转账方式支付至乙方以下账号：</w:t>
      </w:r>
    </w:p>
    <w:p>
      <w:pPr>
        <w:pStyle w:val="8"/>
        <w:spacing w:line="360" w:lineRule="auto"/>
        <w:ind w:firstLine="960" w:firstLineChars="400"/>
        <w:rPr>
          <w:rFonts w:hint="eastAsia" w:eastAsia="宋体"/>
          <w:color w:val="auto"/>
          <w:sz w:val="24"/>
          <w:szCs w:val="24"/>
          <w:highlight w:val="none"/>
          <w:lang w:eastAsia="zh-CN"/>
        </w:rPr>
      </w:pPr>
      <w:r>
        <w:rPr>
          <w:rFonts w:hint="eastAsia"/>
          <w:color w:val="auto"/>
          <w:sz w:val="24"/>
          <w:szCs w:val="24"/>
          <w:highlight w:val="none"/>
        </w:rPr>
        <w:t xml:space="preserve">开户行： </w:t>
      </w:r>
      <w:r>
        <w:rPr>
          <w:rFonts w:hint="eastAsia"/>
          <w:color w:val="auto"/>
          <w:sz w:val="24"/>
          <w:szCs w:val="24"/>
          <w:highlight w:val="none"/>
          <w:lang w:val="en-US" w:eastAsia="zh-CN"/>
        </w:rPr>
        <w:t xml:space="preserve"> </w:t>
      </w:r>
    </w:p>
    <w:p>
      <w:pPr>
        <w:pStyle w:val="8"/>
        <w:spacing w:line="360" w:lineRule="auto"/>
        <w:ind w:firstLine="960" w:firstLineChars="400"/>
        <w:rPr>
          <w:color w:val="auto"/>
          <w:sz w:val="24"/>
          <w:szCs w:val="24"/>
          <w:highlight w:val="none"/>
        </w:rPr>
      </w:pPr>
      <w:r>
        <w:rPr>
          <w:rFonts w:hint="eastAsia" w:hAnsi="宋体" w:cs="宋体"/>
          <w:color w:val="auto"/>
          <w:sz w:val="24"/>
          <w:szCs w:val="24"/>
          <w:highlight w:val="none"/>
        </w:rPr>
        <w:t>账</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号：</w:t>
      </w:r>
      <w:r>
        <w:rPr>
          <w:rFonts w:hint="eastAsia"/>
          <w:color w:val="auto"/>
          <w:sz w:val="24"/>
          <w:szCs w:val="24"/>
          <w:highlight w:val="none"/>
          <w:lang w:val="en-US" w:eastAsia="zh-CN"/>
        </w:rPr>
        <w:t xml:space="preserve"> </w:t>
      </w:r>
      <w:r>
        <w:rPr>
          <w:rFonts w:hint="eastAsia"/>
          <w:color w:val="auto"/>
          <w:sz w:val="24"/>
          <w:szCs w:val="24"/>
          <w:highlight w:val="none"/>
          <w:lang w:eastAsia="zh-CN"/>
        </w:rPr>
        <w:t xml:space="preserve"> </w:t>
      </w:r>
    </w:p>
    <w:p>
      <w:pPr>
        <w:pStyle w:val="7"/>
        <w:spacing w:line="360" w:lineRule="auto"/>
        <w:ind w:firstLine="480" w:firstLineChars="200"/>
        <w:rPr>
          <w:rFonts w:hint="eastAsia" w:ascii="宋体" w:hAnsi="宋体" w:cs="宋体"/>
          <w:color w:val="auto"/>
          <w:sz w:val="24"/>
          <w:highlight w:val="none"/>
          <w:lang w:eastAsia="zh-CN"/>
        </w:rPr>
      </w:pPr>
      <w:r>
        <w:rPr>
          <w:rFonts w:hint="eastAsia" w:hAnsi="宋体" w:cs="宋体"/>
          <w:color w:val="auto"/>
          <w:sz w:val="24"/>
          <w:szCs w:val="24"/>
          <w:highlight w:val="none"/>
        </w:rPr>
        <w:t>账户名：</w:t>
      </w:r>
      <w:r>
        <w:rPr>
          <w:rFonts w:hint="eastAsia"/>
          <w:color w:val="auto"/>
          <w:sz w:val="24"/>
          <w:szCs w:val="24"/>
          <w:highlight w:val="none"/>
          <w:lang w:val="en-US" w:eastAsia="zh-CN"/>
        </w:rPr>
        <w:t xml:space="preserve"> </w:t>
      </w:r>
      <w:r>
        <w:rPr>
          <w:rFonts w:hint="eastAsia"/>
          <w:color w:val="auto"/>
          <w:sz w:val="24"/>
          <w:szCs w:val="24"/>
          <w:highlight w:val="none"/>
        </w:rPr>
        <w:t xml:space="preserve"> </w:t>
      </w:r>
    </w:p>
    <w:p>
      <w:pPr>
        <w:numPr>
          <w:ilvl w:val="0"/>
          <w:numId w:val="2"/>
        </w:numPr>
        <w:autoSpaceDE/>
        <w:autoSpaceDN/>
        <w:snapToGrid w:val="0"/>
        <w:spacing w:line="460" w:lineRule="exact"/>
        <w:jc w:val="both"/>
        <w:rPr>
          <w:rFonts w:hint="eastAsia" w:eastAsiaTheme="minorEastAsia"/>
          <w:b/>
          <w:color w:val="auto"/>
          <w:sz w:val="24"/>
          <w:szCs w:val="24"/>
          <w:highlight w:val="none"/>
        </w:rPr>
      </w:pPr>
      <w:r>
        <w:rPr>
          <w:rFonts w:hint="eastAsia" w:ascii="宋体" w:hAnsi="宋体" w:eastAsia="宋体" w:cs="宋体"/>
          <w:b/>
          <w:color w:val="auto"/>
          <w:sz w:val="24"/>
          <w:highlight w:val="none"/>
          <w:lang w:eastAsia="zh-CN"/>
        </w:rPr>
        <w:t>服务清单</w:t>
      </w:r>
    </w:p>
    <w:p>
      <w:pPr>
        <w:pStyle w:val="8"/>
        <w:spacing w:line="480" w:lineRule="auto"/>
        <w:rPr>
          <w:rFonts w:hint="eastAsia" w:hAnsi="宋体"/>
          <w:b/>
          <w:color w:val="auto"/>
          <w:sz w:val="24"/>
          <w:szCs w:val="24"/>
          <w:highlight w:val="none"/>
        </w:rPr>
      </w:pPr>
      <w:r>
        <w:rPr>
          <w:rFonts w:hint="eastAsia" w:hAnsi="宋体"/>
          <w:b/>
          <w:color w:val="auto"/>
          <w:sz w:val="24"/>
          <w:szCs w:val="24"/>
          <w:highlight w:val="none"/>
        </w:rPr>
        <w:t>①</w:t>
      </w:r>
      <w:r>
        <w:rPr>
          <w:rFonts w:hint="eastAsia" w:hAnsi="宋体"/>
          <w:color w:val="auto"/>
          <w:sz w:val="24"/>
          <w:szCs w:val="24"/>
          <w:highlight w:val="none"/>
        </w:rPr>
        <w:t>招标采购</w:t>
      </w:r>
      <w:r>
        <w:rPr>
          <w:rFonts w:hint="eastAsia" w:hAnsi="宋体" w:cs="宋体"/>
          <w:color w:val="auto"/>
          <w:sz w:val="24"/>
          <w:szCs w:val="24"/>
          <w:highlight w:val="none"/>
        </w:rPr>
        <w:t>系统功能清单</w:t>
      </w:r>
    </w:p>
    <w:tbl>
      <w:tblPr>
        <w:tblStyle w:val="15"/>
        <w:tblW w:w="843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6"/>
        <w:gridCol w:w="1419"/>
        <w:gridCol w:w="1170"/>
        <w:gridCol w:w="1386"/>
        <w:gridCol w:w="3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3545" w:type="dxa"/>
            <w:gridSpan w:val="3"/>
            <w:noWrap w:val="0"/>
            <w:vAlign w:val="top"/>
          </w:tcPr>
          <w:p>
            <w:pPr>
              <w:pStyle w:val="22"/>
              <w:spacing w:before="1" w:line="250" w:lineRule="exact"/>
              <w:ind w:left="1439" w:right="1324"/>
              <w:jc w:val="center"/>
              <w:rPr>
                <w:rFonts w:eastAsia="宋体"/>
                <w:color w:val="auto"/>
                <w:highlight w:val="none"/>
              </w:rPr>
            </w:pPr>
            <w:r>
              <w:rPr>
                <w:rFonts w:eastAsia="宋体"/>
                <w:color w:val="auto"/>
                <w:highlight w:val="none"/>
              </w:rPr>
              <w:t xml:space="preserve">功能模块 </w:t>
            </w:r>
          </w:p>
        </w:tc>
        <w:tc>
          <w:tcPr>
            <w:tcW w:w="1386" w:type="dxa"/>
            <w:noWrap w:val="0"/>
            <w:vAlign w:val="center"/>
          </w:tcPr>
          <w:p>
            <w:pPr>
              <w:pStyle w:val="22"/>
              <w:spacing w:before="1" w:line="250" w:lineRule="exact"/>
              <w:ind w:left="218"/>
              <w:jc w:val="center"/>
              <w:rPr>
                <w:rFonts w:eastAsia="宋体"/>
                <w:color w:val="auto"/>
                <w:highlight w:val="none"/>
              </w:rPr>
            </w:pPr>
            <w:r>
              <w:rPr>
                <w:rFonts w:eastAsia="宋体"/>
                <w:color w:val="auto"/>
                <w:highlight w:val="none"/>
              </w:rPr>
              <w:t>是否已有</w:t>
            </w:r>
          </w:p>
        </w:tc>
        <w:tc>
          <w:tcPr>
            <w:tcW w:w="3500" w:type="dxa"/>
            <w:noWrap w:val="0"/>
            <w:vAlign w:val="top"/>
          </w:tcPr>
          <w:p>
            <w:pPr>
              <w:pStyle w:val="22"/>
              <w:spacing w:before="1" w:line="250" w:lineRule="exact"/>
              <w:ind w:left="187" w:right="75"/>
              <w:jc w:val="center"/>
              <w:rPr>
                <w:rFonts w:eastAsia="宋体"/>
                <w:color w:val="auto"/>
                <w:highlight w:val="none"/>
              </w:rPr>
            </w:pPr>
            <w:r>
              <w:rPr>
                <w:rFonts w:eastAsia="宋体"/>
                <w:color w:val="auto"/>
                <w:highlight w:val="none"/>
              </w:rPr>
              <w:t xml:space="preserve">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6" w:type="dxa"/>
            <w:vMerge w:val="restart"/>
            <w:noWrap w:val="0"/>
            <w:vAlign w:val="top"/>
          </w:tcPr>
          <w:p>
            <w:pPr>
              <w:pStyle w:val="22"/>
              <w:rPr>
                <w:rFonts w:eastAsia="宋体"/>
                <w:b/>
                <w:color w:val="auto"/>
                <w:sz w:val="20"/>
                <w:highlight w:val="none"/>
              </w:rPr>
            </w:pPr>
          </w:p>
          <w:p>
            <w:pPr>
              <w:pStyle w:val="22"/>
              <w:rPr>
                <w:rFonts w:eastAsia="宋体"/>
                <w:b/>
                <w:color w:val="auto"/>
                <w:sz w:val="20"/>
                <w:highlight w:val="none"/>
              </w:rPr>
            </w:pPr>
          </w:p>
          <w:p>
            <w:pPr>
              <w:pStyle w:val="22"/>
              <w:rPr>
                <w:rFonts w:eastAsia="宋体"/>
                <w:b/>
                <w:color w:val="auto"/>
                <w:sz w:val="20"/>
                <w:highlight w:val="none"/>
              </w:rPr>
            </w:pPr>
          </w:p>
          <w:p>
            <w:pPr>
              <w:pStyle w:val="22"/>
              <w:rPr>
                <w:rFonts w:eastAsia="宋体"/>
                <w:b/>
                <w:color w:val="auto"/>
                <w:sz w:val="20"/>
                <w:highlight w:val="none"/>
              </w:rPr>
            </w:pPr>
          </w:p>
          <w:p>
            <w:pPr>
              <w:pStyle w:val="22"/>
              <w:rPr>
                <w:rFonts w:eastAsia="宋体"/>
                <w:b/>
                <w:color w:val="auto"/>
                <w:sz w:val="20"/>
                <w:highlight w:val="none"/>
              </w:rPr>
            </w:pPr>
          </w:p>
          <w:p>
            <w:pPr>
              <w:pStyle w:val="22"/>
              <w:rPr>
                <w:rFonts w:eastAsia="宋体"/>
                <w:b/>
                <w:color w:val="auto"/>
                <w:sz w:val="20"/>
                <w:highlight w:val="none"/>
              </w:rPr>
            </w:pPr>
          </w:p>
          <w:p>
            <w:pPr>
              <w:pStyle w:val="22"/>
              <w:rPr>
                <w:rFonts w:eastAsia="宋体"/>
                <w:b/>
                <w:color w:val="auto"/>
                <w:sz w:val="20"/>
                <w:highlight w:val="none"/>
              </w:rPr>
            </w:pPr>
          </w:p>
          <w:p>
            <w:pPr>
              <w:pStyle w:val="22"/>
              <w:rPr>
                <w:rFonts w:eastAsia="宋体"/>
                <w:b/>
                <w:color w:val="auto"/>
                <w:sz w:val="20"/>
                <w:highlight w:val="none"/>
              </w:rPr>
            </w:pPr>
          </w:p>
          <w:p>
            <w:pPr>
              <w:pStyle w:val="22"/>
              <w:rPr>
                <w:rFonts w:eastAsia="宋体"/>
                <w:b/>
                <w:color w:val="auto"/>
                <w:sz w:val="20"/>
                <w:highlight w:val="none"/>
              </w:rPr>
            </w:pPr>
          </w:p>
          <w:p>
            <w:pPr>
              <w:pStyle w:val="22"/>
              <w:rPr>
                <w:rFonts w:eastAsia="宋体"/>
                <w:b/>
                <w:color w:val="auto"/>
                <w:sz w:val="20"/>
                <w:highlight w:val="none"/>
              </w:rPr>
            </w:pPr>
          </w:p>
          <w:p>
            <w:pPr>
              <w:pStyle w:val="22"/>
              <w:rPr>
                <w:rFonts w:eastAsia="宋体"/>
                <w:b/>
                <w:color w:val="auto"/>
                <w:sz w:val="20"/>
                <w:highlight w:val="none"/>
              </w:rPr>
            </w:pPr>
          </w:p>
          <w:p>
            <w:pPr>
              <w:pStyle w:val="22"/>
              <w:rPr>
                <w:rFonts w:eastAsia="宋体"/>
                <w:b/>
                <w:color w:val="auto"/>
                <w:sz w:val="18"/>
                <w:highlight w:val="none"/>
              </w:rPr>
            </w:pPr>
          </w:p>
          <w:p>
            <w:pPr>
              <w:pStyle w:val="22"/>
              <w:ind w:left="108"/>
              <w:rPr>
                <w:rFonts w:eastAsia="宋体"/>
                <w:color w:val="auto"/>
                <w:highlight w:val="none"/>
              </w:rPr>
            </w:pPr>
            <w:r>
              <w:rPr>
                <w:rFonts w:eastAsia="宋体"/>
                <w:color w:val="auto"/>
                <w:highlight w:val="none"/>
              </w:rPr>
              <w:t xml:space="preserve">公司 </w:t>
            </w:r>
          </w:p>
        </w:tc>
        <w:tc>
          <w:tcPr>
            <w:tcW w:w="1419" w:type="dxa"/>
            <w:vMerge w:val="restart"/>
            <w:noWrap w:val="0"/>
            <w:vAlign w:val="top"/>
          </w:tcPr>
          <w:p>
            <w:pPr>
              <w:pStyle w:val="22"/>
              <w:rPr>
                <w:rFonts w:eastAsia="宋体"/>
                <w:b/>
                <w:color w:val="auto"/>
                <w:sz w:val="20"/>
                <w:highlight w:val="none"/>
              </w:rPr>
            </w:pPr>
          </w:p>
          <w:p>
            <w:pPr>
              <w:pStyle w:val="22"/>
              <w:rPr>
                <w:rFonts w:eastAsia="宋体"/>
                <w:b/>
                <w:color w:val="auto"/>
                <w:sz w:val="20"/>
                <w:highlight w:val="none"/>
              </w:rPr>
            </w:pPr>
          </w:p>
          <w:p>
            <w:pPr>
              <w:pStyle w:val="22"/>
              <w:rPr>
                <w:rFonts w:eastAsia="宋体"/>
                <w:b/>
                <w:color w:val="auto"/>
                <w:sz w:val="20"/>
                <w:highlight w:val="none"/>
              </w:rPr>
            </w:pPr>
          </w:p>
          <w:p>
            <w:pPr>
              <w:pStyle w:val="22"/>
              <w:rPr>
                <w:rFonts w:eastAsia="宋体"/>
                <w:b/>
                <w:color w:val="auto"/>
                <w:sz w:val="20"/>
                <w:highlight w:val="none"/>
              </w:rPr>
            </w:pPr>
          </w:p>
          <w:p>
            <w:pPr>
              <w:pStyle w:val="22"/>
              <w:rPr>
                <w:rFonts w:eastAsia="宋体"/>
                <w:b/>
                <w:color w:val="auto"/>
                <w:sz w:val="20"/>
                <w:highlight w:val="none"/>
              </w:rPr>
            </w:pPr>
          </w:p>
          <w:p>
            <w:pPr>
              <w:pStyle w:val="22"/>
              <w:spacing w:before="5"/>
              <w:rPr>
                <w:rFonts w:eastAsia="宋体"/>
                <w:b/>
                <w:color w:val="auto"/>
                <w:sz w:val="19"/>
                <w:highlight w:val="none"/>
              </w:rPr>
            </w:pPr>
          </w:p>
          <w:p>
            <w:pPr>
              <w:pStyle w:val="22"/>
              <w:spacing w:line="244" w:lineRule="auto"/>
              <w:ind w:left="109" w:right="93"/>
              <w:rPr>
                <w:rFonts w:eastAsia="宋体"/>
                <w:color w:val="auto"/>
                <w:highlight w:val="none"/>
              </w:rPr>
            </w:pPr>
            <w:r>
              <w:rPr>
                <w:rFonts w:eastAsia="宋体"/>
                <w:color w:val="auto"/>
                <w:highlight w:val="none"/>
              </w:rPr>
              <w:t xml:space="preserve">合作单位入库 </w:t>
            </w:r>
          </w:p>
        </w:tc>
        <w:tc>
          <w:tcPr>
            <w:tcW w:w="1170" w:type="dxa"/>
            <w:vMerge w:val="restart"/>
            <w:noWrap w:val="0"/>
            <w:vAlign w:val="center"/>
          </w:tcPr>
          <w:p>
            <w:pPr>
              <w:pStyle w:val="22"/>
              <w:spacing w:before="10"/>
              <w:jc w:val="center"/>
              <w:rPr>
                <w:rFonts w:eastAsia="宋体"/>
                <w:b/>
                <w:color w:val="auto"/>
                <w:highlight w:val="none"/>
              </w:rPr>
            </w:pPr>
          </w:p>
          <w:p>
            <w:pPr>
              <w:pStyle w:val="22"/>
              <w:ind w:left="109"/>
              <w:jc w:val="center"/>
              <w:rPr>
                <w:rFonts w:eastAsia="宋体"/>
                <w:color w:val="auto"/>
                <w:highlight w:val="none"/>
              </w:rPr>
            </w:pPr>
            <w:r>
              <w:rPr>
                <w:rFonts w:eastAsia="宋体"/>
                <w:color w:val="auto"/>
                <w:highlight w:val="none"/>
              </w:rPr>
              <w:t>招募公告</w:t>
            </w:r>
          </w:p>
        </w:tc>
        <w:tc>
          <w:tcPr>
            <w:tcW w:w="1386" w:type="dxa"/>
            <w:noWrap w:val="0"/>
            <w:vAlign w:val="center"/>
          </w:tcPr>
          <w:p>
            <w:pPr>
              <w:pStyle w:val="22"/>
              <w:spacing w:before="3" w:line="250" w:lineRule="exact"/>
              <w:ind w:left="108"/>
              <w:jc w:val="center"/>
              <w:rPr>
                <w:rFonts w:eastAsia="宋体"/>
                <w:color w:val="auto"/>
                <w:highlight w:val="none"/>
              </w:rPr>
            </w:pPr>
            <w:r>
              <w:rPr>
                <w:rFonts w:eastAsia="宋体"/>
                <w:color w:val="auto"/>
                <w:highlight w:val="none"/>
              </w:rPr>
              <w:t>公司官网</w:t>
            </w:r>
          </w:p>
        </w:tc>
        <w:tc>
          <w:tcPr>
            <w:tcW w:w="3500" w:type="dxa"/>
            <w:noWrap w:val="0"/>
            <w:vAlign w:val="top"/>
          </w:tcPr>
          <w:p>
            <w:pPr>
              <w:pStyle w:val="22"/>
              <w:spacing w:before="3" w:line="250" w:lineRule="exact"/>
              <w:ind w:left="197" w:right="75"/>
              <w:jc w:val="center"/>
              <w:rPr>
                <w:rFonts w:eastAsia="宋体"/>
                <w:color w:val="auto"/>
                <w:highlight w:val="none"/>
              </w:rPr>
            </w:pPr>
            <w:r>
              <w:rPr>
                <w:rFonts w:eastAsia="宋体"/>
                <w:color w:val="auto"/>
                <w:spacing w:val="-6"/>
                <w:highlight w:val="none"/>
              </w:rPr>
              <w:t>可在公司官网发布招募公告，合作单位可申请注册</w:t>
            </w:r>
            <w:r>
              <w:rPr>
                <w:rFonts w:eastAsia="宋体"/>
                <w:color w:val="auto"/>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56" w:type="dxa"/>
            <w:vMerge w:val="continue"/>
            <w:noWrap w:val="0"/>
            <w:vAlign w:val="top"/>
          </w:tcPr>
          <w:p>
            <w:pPr>
              <w:rPr>
                <w:rFonts w:ascii="宋体" w:hAnsi="宋体" w:eastAsia="宋体"/>
                <w:color w:val="auto"/>
                <w:sz w:val="2"/>
                <w:szCs w:val="2"/>
                <w:highlight w:val="none"/>
              </w:rPr>
            </w:pPr>
          </w:p>
        </w:tc>
        <w:tc>
          <w:tcPr>
            <w:tcW w:w="1419" w:type="dxa"/>
            <w:vMerge w:val="continue"/>
            <w:tcBorders>
              <w:top w:val="nil"/>
            </w:tcBorders>
            <w:noWrap w:val="0"/>
            <w:vAlign w:val="top"/>
          </w:tcPr>
          <w:p>
            <w:pPr>
              <w:rPr>
                <w:rFonts w:ascii="宋体" w:hAnsi="宋体" w:eastAsia="宋体"/>
                <w:color w:val="auto"/>
                <w:sz w:val="2"/>
                <w:szCs w:val="2"/>
                <w:highlight w:val="none"/>
              </w:rPr>
            </w:pPr>
          </w:p>
        </w:tc>
        <w:tc>
          <w:tcPr>
            <w:tcW w:w="1170" w:type="dxa"/>
            <w:vMerge w:val="continue"/>
            <w:tcBorders>
              <w:top w:val="nil"/>
            </w:tcBorders>
            <w:noWrap w:val="0"/>
            <w:vAlign w:val="center"/>
          </w:tcPr>
          <w:p>
            <w:pPr>
              <w:jc w:val="center"/>
              <w:rPr>
                <w:rFonts w:ascii="宋体" w:hAnsi="宋体" w:eastAsia="宋体"/>
                <w:color w:val="auto"/>
                <w:sz w:val="2"/>
                <w:szCs w:val="2"/>
                <w:highlight w:val="none"/>
              </w:rPr>
            </w:pPr>
          </w:p>
        </w:tc>
        <w:tc>
          <w:tcPr>
            <w:tcW w:w="1386" w:type="dxa"/>
            <w:noWrap w:val="0"/>
            <w:vAlign w:val="center"/>
          </w:tcPr>
          <w:p>
            <w:pPr>
              <w:pStyle w:val="22"/>
              <w:spacing w:before="137"/>
              <w:ind w:left="108"/>
              <w:jc w:val="center"/>
              <w:rPr>
                <w:rFonts w:eastAsia="宋体"/>
                <w:color w:val="auto"/>
                <w:highlight w:val="none"/>
              </w:rPr>
            </w:pPr>
            <w:r>
              <w:rPr>
                <w:rFonts w:eastAsia="宋体"/>
                <w:color w:val="auto"/>
                <w:highlight w:val="none"/>
              </w:rPr>
              <w:t>公开招募</w:t>
            </w:r>
          </w:p>
        </w:tc>
        <w:tc>
          <w:tcPr>
            <w:tcW w:w="3500" w:type="dxa"/>
            <w:noWrap w:val="0"/>
            <w:vAlign w:val="top"/>
          </w:tcPr>
          <w:p>
            <w:pPr>
              <w:pStyle w:val="22"/>
              <w:spacing w:before="1"/>
              <w:ind w:left="107"/>
              <w:rPr>
                <w:rFonts w:eastAsia="宋体"/>
                <w:color w:val="auto"/>
                <w:highlight w:val="none"/>
              </w:rPr>
            </w:pPr>
            <w:r>
              <w:rPr>
                <w:rFonts w:eastAsia="宋体"/>
                <w:color w:val="auto"/>
                <w:highlight w:val="none"/>
              </w:rPr>
              <w:t xml:space="preserve">也可在集团或外部资源网站发布招募信息，发布范围自行确定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56" w:type="dxa"/>
            <w:vMerge w:val="continue"/>
            <w:noWrap w:val="0"/>
            <w:vAlign w:val="top"/>
          </w:tcPr>
          <w:p>
            <w:pPr>
              <w:rPr>
                <w:rFonts w:ascii="宋体" w:hAnsi="宋体" w:eastAsia="宋体"/>
                <w:color w:val="auto"/>
                <w:sz w:val="2"/>
                <w:szCs w:val="2"/>
                <w:highlight w:val="none"/>
              </w:rPr>
            </w:pPr>
          </w:p>
        </w:tc>
        <w:tc>
          <w:tcPr>
            <w:tcW w:w="1419" w:type="dxa"/>
            <w:vMerge w:val="continue"/>
            <w:tcBorders>
              <w:top w:val="nil"/>
            </w:tcBorders>
            <w:noWrap w:val="0"/>
            <w:vAlign w:val="top"/>
          </w:tcPr>
          <w:p>
            <w:pPr>
              <w:rPr>
                <w:rFonts w:ascii="宋体" w:hAnsi="宋体" w:eastAsia="宋体"/>
                <w:color w:val="auto"/>
                <w:sz w:val="2"/>
                <w:szCs w:val="2"/>
                <w:highlight w:val="none"/>
              </w:rPr>
            </w:pPr>
          </w:p>
        </w:tc>
        <w:tc>
          <w:tcPr>
            <w:tcW w:w="1170" w:type="dxa"/>
            <w:vMerge w:val="restart"/>
            <w:noWrap w:val="0"/>
            <w:vAlign w:val="center"/>
          </w:tcPr>
          <w:p>
            <w:pPr>
              <w:pStyle w:val="22"/>
              <w:spacing w:before="10"/>
              <w:jc w:val="center"/>
              <w:rPr>
                <w:rFonts w:eastAsia="宋体"/>
                <w:b/>
                <w:color w:val="auto"/>
                <w:highlight w:val="none"/>
              </w:rPr>
            </w:pPr>
          </w:p>
          <w:p>
            <w:pPr>
              <w:pStyle w:val="22"/>
              <w:spacing w:line="242" w:lineRule="auto"/>
              <w:ind w:left="109" w:right="102"/>
              <w:jc w:val="center"/>
              <w:rPr>
                <w:rFonts w:eastAsia="宋体"/>
                <w:color w:val="auto"/>
                <w:highlight w:val="none"/>
              </w:rPr>
            </w:pPr>
            <w:r>
              <w:rPr>
                <w:rFonts w:eastAsia="宋体"/>
                <w:color w:val="auto"/>
                <w:highlight w:val="none"/>
              </w:rPr>
              <w:t>合作单位注册</w:t>
            </w:r>
          </w:p>
        </w:tc>
        <w:tc>
          <w:tcPr>
            <w:tcW w:w="1386" w:type="dxa"/>
            <w:noWrap w:val="0"/>
            <w:vAlign w:val="center"/>
          </w:tcPr>
          <w:p>
            <w:pPr>
              <w:pStyle w:val="22"/>
              <w:spacing w:before="137"/>
              <w:ind w:left="108"/>
              <w:jc w:val="center"/>
              <w:rPr>
                <w:rFonts w:eastAsia="宋体"/>
                <w:color w:val="auto"/>
                <w:highlight w:val="none"/>
              </w:rPr>
            </w:pPr>
            <w:r>
              <w:rPr>
                <w:rFonts w:eastAsia="宋体"/>
                <w:color w:val="auto"/>
                <w:highlight w:val="none"/>
              </w:rPr>
              <w:t>网站注册</w:t>
            </w:r>
          </w:p>
        </w:tc>
        <w:tc>
          <w:tcPr>
            <w:tcW w:w="3500" w:type="dxa"/>
            <w:noWrap w:val="0"/>
            <w:vAlign w:val="top"/>
          </w:tcPr>
          <w:p>
            <w:pPr>
              <w:pStyle w:val="22"/>
              <w:spacing w:before="1"/>
              <w:ind w:left="107"/>
              <w:rPr>
                <w:rFonts w:eastAsia="宋体"/>
                <w:color w:val="auto"/>
                <w:highlight w:val="none"/>
              </w:rPr>
            </w:pPr>
            <w:r>
              <w:rPr>
                <w:rFonts w:eastAsia="宋体"/>
                <w:color w:val="auto"/>
                <w:highlight w:val="none"/>
              </w:rPr>
              <w:t xml:space="preserve">供应商可在公司官网下集采系统中申请注册成为合作单位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56" w:type="dxa"/>
            <w:vMerge w:val="continue"/>
            <w:noWrap w:val="0"/>
            <w:vAlign w:val="top"/>
          </w:tcPr>
          <w:p>
            <w:pPr>
              <w:rPr>
                <w:rFonts w:ascii="宋体" w:hAnsi="宋体" w:eastAsia="宋体"/>
                <w:color w:val="auto"/>
                <w:sz w:val="2"/>
                <w:szCs w:val="2"/>
                <w:highlight w:val="none"/>
              </w:rPr>
            </w:pPr>
          </w:p>
        </w:tc>
        <w:tc>
          <w:tcPr>
            <w:tcW w:w="1419" w:type="dxa"/>
            <w:vMerge w:val="continue"/>
            <w:tcBorders>
              <w:top w:val="nil"/>
            </w:tcBorders>
            <w:noWrap w:val="0"/>
            <w:vAlign w:val="top"/>
          </w:tcPr>
          <w:p>
            <w:pPr>
              <w:rPr>
                <w:rFonts w:ascii="宋体" w:hAnsi="宋体" w:eastAsia="宋体"/>
                <w:color w:val="auto"/>
                <w:sz w:val="2"/>
                <w:szCs w:val="2"/>
                <w:highlight w:val="none"/>
              </w:rPr>
            </w:pPr>
          </w:p>
        </w:tc>
        <w:tc>
          <w:tcPr>
            <w:tcW w:w="1170" w:type="dxa"/>
            <w:vMerge w:val="continue"/>
            <w:tcBorders>
              <w:top w:val="nil"/>
            </w:tcBorders>
            <w:noWrap w:val="0"/>
            <w:vAlign w:val="center"/>
          </w:tcPr>
          <w:p>
            <w:pPr>
              <w:jc w:val="center"/>
              <w:rPr>
                <w:rFonts w:ascii="宋体" w:hAnsi="宋体" w:eastAsia="宋体"/>
                <w:color w:val="auto"/>
                <w:sz w:val="2"/>
                <w:szCs w:val="2"/>
                <w:highlight w:val="none"/>
              </w:rPr>
            </w:pPr>
          </w:p>
        </w:tc>
        <w:tc>
          <w:tcPr>
            <w:tcW w:w="1386" w:type="dxa"/>
            <w:noWrap w:val="0"/>
            <w:vAlign w:val="center"/>
          </w:tcPr>
          <w:p>
            <w:pPr>
              <w:pStyle w:val="22"/>
              <w:spacing w:before="137"/>
              <w:ind w:left="108"/>
              <w:jc w:val="center"/>
              <w:rPr>
                <w:rFonts w:eastAsia="宋体"/>
                <w:color w:val="auto"/>
                <w:highlight w:val="none"/>
              </w:rPr>
            </w:pPr>
            <w:r>
              <w:rPr>
                <w:rFonts w:eastAsia="宋体"/>
                <w:color w:val="auto"/>
                <w:highlight w:val="none"/>
              </w:rPr>
              <w:t>内部添加</w:t>
            </w:r>
          </w:p>
        </w:tc>
        <w:tc>
          <w:tcPr>
            <w:tcW w:w="3500" w:type="dxa"/>
            <w:noWrap w:val="0"/>
            <w:vAlign w:val="top"/>
          </w:tcPr>
          <w:p>
            <w:pPr>
              <w:pStyle w:val="22"/>
              <w:spacing w:before="2" w:line="270" w:lineRule="atLeast"/>
              <w:ind w:left="107" w:right="44"/>
              <w:rPr>
                <w:rFonts w:eastAsia="宋体"/>
                <w:color w:val="auto"/>
                <w:highlight w:val="none"/>
              </w:rPr>
            </w:pPr>
            <w:r>
              <w:rPr>
                <w:rFonts w:eastAsia="宋体"/>
                <w:color w:val="auto"/>
                <w:highlight w:val="none"/>
              </w:rPr>
              <w:t xml:space="preserve">合作单位审核部门也可自行添加合作方信息，作为快速录入或补充录入使用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56" w:type="dxa"/>
            <w:vMerge w:val="continue"/>
            <w:noWrap w:val="0"/>
            <w:vAlign w:val="top"/>
          </w:tcPr>
          <w:p>
            <w:pPr>
              <w:rPr>
                <w:rFonts w:ascii="宋体" w:hAnsi="宋体" w:eastAsia="宋体"/>
                <w:color w:val="auto"/>
                <w:sz w:val="2"/>
                <w:szCs w:val="2"/>
                <w:highlight w:val="none"/>
              </w:rPr>
            </w:pPr>
          </w:p>
        </w:tc>
        <w:tc>
          <w:tcPr>
            <w:tcW w:w="1419" w:type="dxa"/>
            <w:vMerge w:val="continue"/>
            <w:tcBorders>
              <w:top w:val="nil"/>
            </w:tcBorders>
            <w:noWrap w:val="0"/>
            <w:vAlign w:val="top"/>
          </w:tcPr>
          <w:p>
            <w:pPr>
              <w:rPr>
                <w:rFonts w:ascii="宋体" w:hAnsi="宋体" w:eastAsia="宋体"/>
                <w:color w:val="auto"/>
                <w:sz w:val="2"/>
                <w:szCs w:val="2"/>
                <w:highlight w:val="none"/>
              </w:rPr>
            </w:pPr>
          </w:p>
        </w:tc>
        <w:tc>
          <w:tcPr>
            <w:tcW w:w="1170" w:type="dxa"/>
            <w:vMerge w:val="restart"/>
            <w:noWrap w:val="0"/>
            <w:vAlign w:val="center"/>
          </w:tcPr>
          <w:p>
            <w:pPr>
              <w:pStyle w:val="22"/>
              <w:jc w:val="center"/>
              <w:rPr>
                <w:rFonts w:eastAsia="宋体"/>
                <w:b/>
                <w:color w:val="auto"/>
                <w:sz w:val="20"/>
                <w:highlight w:val="none"/>
              </w:rPr>
            </w:pPr>
          </w:p>
          <w:p>
            <w:pPr>
              <w:pStyle w:val="22"/>
              <w:jc w:val="center"/>
              <w:rPr>
                <w:rFonts w:eastAsia="宋体"/>
                <w:b/>
                <w:color w:val="auto"/>
                <w:sz w:val="20"/>
                <w:highlight w:val="none"/>
              </w:rPr>
            </w:pPr>
          </w:p>
          <w:p>
            <w:pPr>
              <w:pStyle w:val="22"/>
              <w:spacing w:before="2"/>
              <w:jc w:val="center"/>
              <w:rPr>
                <w:rFonts w:eastAsia="宋体"/>
                <w:b/>
                <w:color w:val="auto"/>
                <w:sz w:val="14"/>
                <w:highlight w:val="none"/>
              </w:rPr>
            </w:pPr>
          </w:p>
          <w:p>
            <w:pPr>
              <w:pStyle w:val="22"/>
              <w:ind w:left="109"/>
              <w:jc w:val="center"/>
              <w:rPr>
                <w:rFonts w:eastAsia="宋体"/>
                <w:color w:val="auto"/>
                <w:highlight w:val="none"/>
              </w:rPr>
            </w:pPr>
            <w:r>
              <w:rPr>
                <w:rFonts w:eastAsia="宋体"/>
                <w:color w:val="auto"/>
                <w:highlight w:val="none"/>
              </w:rPr>
              <w:t>评审及评价</w:t>
            </w:r>
          </w:p>
        </w:tc>
        <w:tc>
          <w:tcPr>
            <w:tcW w:w="1386" w:type="dxa"/>
            <w:noWrap w:val="0"/>
            <w:vAlign w:val="center"/>
          </w:tcPr>
          <w:p>
            <w:pPr>
              <w:pStyle w:val="22"/>
              <w:spacing w:before="138"/>
              <w:ind w:left="108"/>
              <w:jc w:val="center"/>
              <w:rPr>
                <w:rFonts w:eastAsia="宋体"/>
                <w:color w:val="auto"/>
                <w:highlight w:val="none"/>
              </w:rPr>
            </w:pPr>
            <w:r>
              <w:rPr>
                <w:rFonts w:eastAsia="宋体"/>
                <w:color w:val="auto"/>
                <w:highlight w:val="none"/>
              </w:rPr>
              <w:t>注册审核</w:t>
            </w:r>
          </w:p>
        </w:tc>
        <w:tc>
          <w:tcPr>
            <w:tcW w:w="3500" w:type="dxa"/>
            <w:noWrap w:val="0"/>
            <w:vAlign w:val="top"/>
          </w:tcPr>
          <w:p>
            <w:pPr>
              <w:pStyle w:val="22"/>
              <w:spacing w:before="2" w:line="270" w:lineRule="atLeast"/>
              <w:ind w:left="107" w:right="276"/>
              <w:rPr>
                <w:rFonts w:eastAsia="宋体"/>
                <w:color w:val="auto"/>
                <w:highlight w:val="none"/>
              </w:rPr>
            </w:pPr>
            <w:r>
              <w:rPr>
                <w:rFonts w:eastAsia="宋体"/>
                <w:color w:val="auto"/>
                <w:highlight w:val="none"/>
              </w:rPr>
              <w:t xml:space="preserve">公司审核部门对所有申请注册单位进行资质和能力审定，确定符合要求后，入合作单位信息库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56" w:type="dxa"/>
            <w:vMerge w:val="continue"/>
            <w:noWrap w:val="0"/>
            <w:vAlign w:val="top"/>
          </w:tcPr>
          <w:p>
            <w:pPr>
              <w:rPr>
                <w:rFonts w:ascii="宋体" w:hAnsi="宋体" w:eastAsia="宋体"/>
                <w:color w:val="auto"/>
                <w:sz w:val="2"/>
                <w:szCs w:val="2"/>
                <w:highlight w:val="none"/>
              </w:rPr>
            </w:pPr>
          </w:p>
        </w:tc>
        <w:tc>
          <w:tcPr>
            <w:tcW w:w="1419" w:type="dxa"/>
            <w:vMerge w:val="continue"/>
            <w:tcBorders>
              <w:top w:val="nil"/>
            </w:tcBorders>
            <w:noWrap w:val="0"/>
            <w:vAlign w:val="top"/>
          </w:tcPr>
          <w:p>
            <w:pPr>
              <w:rPr>
                <w:rFonts w:ascii="宋体" w:hAnsi="宋体" w:eastAsia="宋体"/>
                <w:color w:val="auto"/>
                <w:sz w:val="2"/>
                <w:szCs w:val="2"/>
                <w:highlight w:val="none"/>
              </w:rPr>
            </w:pPr>
          </w:p>
        </w:tc>
        <w:tc>
          <w:tcPr>
            <w:tcW w:w="1170" w:type="dxa"/>
            <w:vMerge w:val="continue"/>
            <w:tcBorders>
              <w:top w:val="nil"/>
            </w:tcBorders>
            <w:noWrap w:val="0"/>
            <w:vAlign w:val="center"/>
          </w:tcPr>
          <w:p>
            <w:pPr>
              <w:jc w:val="center"/>
              <w:rPr>
                <w:rFonts w:ascii="宋体" w:hAnsi="宋体" w:eastAsia="宋体"/>
                <w:color w:val="auto"/>
                <w:sz w:val="2"/>
                <w:szCs w:val="2"/>
                <w:highlight w:val="none"/>
              </w:rPr>
            </w:pPr>
          </w:p>
        </w:tc>
        <w:tc>
          <w:tcPr>
            <w:tcW w:w="1386" w:type="dxa"/>
            <w:noWrap w:val="0"/>
            <w:vAlign w:val="center"/>
          </w:tcPr>
          <w:p>
            <w:pPr>
              <w:pStyle w:val="22"/>
              <w:spacing w:before="137"/>
              <w:ind w:left="108"/>
              <w:jc w:val="center"/>
              <w:rPr>
                <w:rFonts w:eastAsia="宋体"/>
                <w:color w:val="auto"/>
                <w:highlight w:val="none"/>
              </w:rPr>
            </w:pPr>
            <w:r>
              <w:rPr>
                <w:rFonts w:eastAsia="宋体"/>
                <w:color w:val="auto"/>
                <w:highlight w:val="none"/>
              </w:rPr>
              <w:t>定期评价</w:t>
            </w:r>
          </w:p>
        </w:tc>
        <w:tc>
          <w:tcPr>
            <w:tcW w:w="3500" w:type="dxa"/>
            <w:noWrap w:val="0"/>
            <w:vAlign w:val="top"/>
          </w:tcPr>
          <w:p>
            <w:pPr>
              <w:pStyle w:val="22"/>
              <w:spacing w:before="1"/>
              <w:ind w:left="107"/>
              <w:rPr>
                <w:rFonts w:eastAsia="宋体"/>
                <w:color w:val="auto"/>
                <w:highlight w:val="none"/>
              </w:rPr>
            </w:pPr>
            <w:r>
              <w:rPr>
                <w:rFonts w:eastAsia="宋体"/>
                <w:color w:val="auto"/>
                <w:highlight w:val="none"/>
              </w:rPr>
              <w:t xml:space="preserve">根据要求，定期（半年或每年）进行合作单位评价和评级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56" w:type="dxa"/>
            <w:vMerge w:val="continue"/>
            <w:noWrap w:val="0"/>
            <w:vAlign w:val="top"/>
          </w:tcPr>
          <w:p>
            <w:pPr>
              <w:rPr>
                <w:rFonts w:ascii="宋体" w:hAnsi="宋体" w:eastAsia="宋体"/>
                <w:color w:val="auto"/>
                <w:sz w:val="2"/>
                <w:szCs w:val="2"/>
                <w:highlight w:val="none"/>
              </w:rPr>
            </w:pPr>
          </w:p>
        </w:tc>
        <w:tc>
          <w:tcPr>
            <w:tcW w:w="1419" w:type="dxa"/>
            <w:vMerge w:val="continue"/>
            <w:tcBorders>
              <w:top w:val="nil"/>
            </w:tcBorders>
            <w:noWrap w:val="0"/>
            <w:vAlign w:val="top"/>
          </w:tcPr>
          <w:p>
            <w:pPr>
              <w:rPr>
                <w:rFonts w:ascii="宋体" w:hAnsi="宋体" w:eastAsia="宋体"/>
                <w:color w:val="auto"/>
                <w:sz w:val="2"/>
                <w:szCs w:val="2"/>
                <w:highlight w:val="none"/>
              </w:rPr>
            </w:pPr>
          </w:p>
        </w:tc>
        <w:tc>
          <w:tcPr>
            <w:tcW w:w="1170" w:type="dxa"/>
            <w:vMerge w:val="continue"/>
            <w:tcBorders>
              <w:top w:val="nil"/>
            </w:tcBorders>
            <w:noWrap w:val="0"/>
            <w:vAlign w:val="center"/>
          </w:tcPr>
          <w:p>
            <w:pPr>
              <w:jc w:val="center"/>
              <w:rPr>
                <w:rFonts w:ascii="宋体" w:hAnsi="宋体" w:eastAsia="宋体"/>
                <w:color w:val="auto"/>
                <w:sz w:val="2"/>
                <w:szCs w:val="2"/>
                <w:highlight w:val="none"/>
              </w:rPr>
            </w:pPr>
          </w:p>
        </w:tc>
        <w:tc>
          <w:tcPr>
            <w:tcW w:w="1386" w:type="dxa"/>
            <w:noWrap w:val="0"/>
            <w:vAlign w:val="center"/>
          </w:tcPr>
          <w:p>
            <w:pPr>
              <w:pStyle w:val="22"/>
              <w:spacing w:before="137"/>
              <w:ind w:left="108"/>
              <w:jc w:val="center"/>
              <w:rPr>
                <w:rFonts w:eastAsia="宋体"/>
                <w:color w:val="auto"/>
                <w:highlight w:val="none"/>
              </w:rPr>
            </w:pPr>
            <w:r>
              <w:rPr>
                <w:rFonts w:eastAsia="宋体"/>
                <w:color w:val="auto"/>
                <w:highlight w:val="none"/>
              </w:rPr>
              <w:t>黑名单</w:t>
            </w:r>
          </w:p>
        </w:tc>
        <w:tc>
          <w:tcPr>
            <w:tcW w:w="3500" w:type="dxa"/>
            <w:noWrap w:val="0"/>
            <w:vAlign w:val="top"/>
          </w:tcPr>
          <w:p>
            <w:pPr>
              <w:pStyle w:val="22"/>
              <w:spacing w:before="1"/>
              <w:ind w:left="107"/>
              <w:rPr>
                <w:rFonts w:eastAsia="宋体"/>
                <w:color w:val="auto"/>
                <w:highlight w:val="none"/>
              </w:rPr>
            </w:pPr>
            <w:r>
              <w:rPr>
                <w:rFonts w:eastAsia="宋体"/>
                <w:color w:val="auto"/>
                <w:highlight w:val="none"/>
              </w:rPr>
              <w:t xml:space="preserve">如有合作单位因合作产生纠纷，为控制后续报价可调整至黑名单库中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956" w:type="dxa"/>
            <w:vMerge w:val="continue"/>
            <w:noWrap w:val="0"/>
            <w:vAlign w:val="top"/>
          </w:tcPr>
          <w:p>
            <w:pPr>
              <w:rPr>
                <w:rFonts w:ascii="宋体" w:hAnsi="宋体" w:eastAsia="宋体"/>
                <w:color w:val="auto"/>
                <w:sz w:val="2"/>
                <w:szCs w:val="2"/>
                <w:highlight w:val="none"/>
              </w:rPr>
            </w:pPr>
          </w:p>
        </w:tc>
        <w:tc>
          <w:tcPr>
            <w:tcW w:w="1419" w:type="dxa"/>
            <w:noWrap w:val="0"/>
            <w:vAlign w:val="top"/>
          </w:tcPr>
          <w:p>
            <w:pPr>
              <w:pStyle w:val="22"/>
              <w:ind w:left="109"/>
              <w:rPr>
                <w:rFonts w:eastAsia="宋体"/>
                <w:color w:val="auto"/>
                <w:highlight w:val="none"/>
              </w:rPr>
            </w:pPr>
            <w:r>
              <w:rPr>
                <w:rFonts w:eastAsia="宋体"/>
                <w:color w:val="auto"/>
                <w:highlight w:val="none"/>
              </w:rPr>
              <w:t>需求及审批</w:t>
            </w:r>
          </w:p>
        </w:tc>
        <w:tc>
          <w:tcPr>
            <w:tcW w:w="1170" w:type="dxa"/>
            <w:noWrap w:val="0"/>
            <w:vAlign w:val="center"/>
          </w:tcPr>
          <w:p>
            <w:pPr>
              <w:pStyle w:val="22"/>
              <w:ind w:left="109"/>
              <w:jc w:val="center"/>
              <w:rPr>
                <w:rFonts w:eastAsia="宋体"/>
                <w:color w:val="auto"/>
                <w:highlight w:val="none"/>
              </w:rPr>
            </w:pPr>
            <w:r>
              <w:rPr>
                <w:rFonts w:eastAsia="宋体"/>
                <w:color w:val="auto"/>
                <w:highlight w:val="none"/>
              </w:rPr>
              <w:t>采购需求</w:t>
            </w:r>
          </w:p>
        </w:tc>
        <w:tc>
          <w:tcPr>
            <w:tcW w:w="1386" w:type="dxa"/>
            <w:noWrap w:val="0"/>
            <w:vAlign w:val="center"/>
          </w:tcPr>
          <w:p>
            <w:pPr>
              <w:pStyle w:val="22"/>
              <w:spacing w:before="135"/>
              <w:jc w:val="center"/>
              <w:rPr>
                <w:rFonts w:eastAsia="宋体"/>
                <w:color w:val="auto"/>
                <w:highlight w:val="none"/>
                <w:lang w:val="en-US"/>
              </w:rPr>
            </w:pPr>
            <w:r>
              <w:rPr>
                <w:rFonts w:hint="eastAsia" w:eastAsia="宋体"/>
                <w:color w:val="auto"/>
                <w:highlight w:val="none"/>
              </w:rPr>
              <w:t>对接</w:t>
            </w:r>
            <w:r>
              <w:rPr>
                <w:rFonts w:hint="eastAsia" w:eastAsia="宋体"/>
                <w:color w:val="auto"/>
                <w:highlight w:val="none"/>
                <w:lang w:val="en-US"/>
              </w:rPr>
              <w:t>OA系统</w:t>
            </w:r>
          </w:p>
        </w:tc>
        <w:tc>
          <w:tcPr>
            <w:tcW w:w="3500" w:type="dxa"/>
            <w:noWrap w:val="0"/>
            <w:vAlign w:val="top"/>
          </w:tcPr>
          <w:p>
            <w:pPr>
              <w:pStyle w:val="22"/>
              <w:spacing w:before="2" w:line="252" w:lineRule="exact"/>
              <w:ind w:left="107"/>
              <w:rPr>
                <w:rFonts w:eastAsia="宋体"/>
                <w:color w:val="auto"/>
                <w:highlight w:val="none"/>
                <w:lang w:val="en-US"/>
              </w:rPr>
            </w:pPr>
            <w:r>
              <w:rPr>
                <w:rFonts w:hint="eastAsia" w:eastAsia="宋体"/>
                <w:color w:val="auto"/>
                <w:highlight w:val="none"/>
              </w:rPr>
              <w:t>可以对接</w:t>
            </w:r>
            <w:r>
              <w:rPr>
                <w:rFonts w:hint="eastAsia" w:eastAsia="宋体"/>
                <w:color w:val="auto"/>
                <w:highlight w:val="none"/>
                <w:lang w:val="en-US"/>
              </w:rPr>
              <w:t>OA系统已经审批的招标需求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956" w:type="dxa"/>
            <w:vMerge w:val="continue"/>
            <w:noWrap w:val="0"/>
            <w:vAlign w:val="top"/>
          </w:tcPr>
          <w:p>
            <w:pPr>
              <w:rPr>
                <w:rFonts w:ascii="宋体" w:hAnsi="宋体" w:eastAsia="宋体"/>
                <w:color w:val="auto"/>
                <w:sz w:val="2"/>
                <w:szCs w:val="2"/>
                <w:highlight w:val="none"/>
              </w:rPr>
            </w:pPr>
          </w:p>
        </w:tc>
        <w:tc>
          <w:tcPr>
            <w:tcW w:w="1419" w:type="dxa"/>
            <w:vMerge w:val="restart"/>
            <w:noWrap w:val="0"/>
            <w:vAlign w:val="top"/>
          </w:tcPr>
          <w:p>
            <w:pPr>
              <w:pStyle w:val="22"/>
              <w:spacing w:before="3"/>
              <w:rPr>
                <w:rFonts w:eastAsia="宋体"/>
                <w:b/>
                <w:color w:val="auto"/>
                <w:highlight w:val="none"/>
              </w:rPr>
            </w:pPr>
          </w:p>
          <w:p>
            <w:pPr>
              <w:pStyle w:val="22"/>
              <w:ind w:left="109"/>
              <w:rPr>
                <w:rFonts w:eastAsia="宋体"/>
                <w:color w:val="auto"/>
                <w:highlight w:val="none"/>
              </w:rPr>
            </w:pPr>
            <w:r>
              <w:rPr>
                <w:rFonts w:eastAsia="宋体"/>
                <w:color w:val="auto"/>
                <w:highlight w:val="none"/>
              </w:rPr>
              <w:t xml:space="preserve">招评标 </w:t>
            </w:r>
          </w:p>
        </w:tc>
        <w:tc>
          <w:tcPr>
            <w:tcW w:w="1170" w:type="dxa"/>
            <w:vMerge w:val="restart"/>
            <w:noWrap w:val="0"/>
            <w:vAlign w:val="center"/>
          </w:tcPr>
          <w:p>
            <w:pPr>
              <w:pStyle w:val="22"/>
              <w:spacing w:before="3"/>
              <w:jc w:val="center"/>
              <w:rPr>
                <w:rFonts w:eastAsia="宋体"/>
                <w:b/>
                <w:color w:val="auto"/>
                <w:highlight w:val="none"/>
              </w:rPr>
            </w:pPr>
          </w:p>
          <w:p>
            <w:pPr>
              <w:pStyle w:val="22"/>
              <w:ind w:left="109"/>
              <w:jc w:val="center"/>
              <w:rPr>
                <w:rFonts w:eastAsia="宋体"/>
                <w:color w:val="auto"/>
                <w:highlight w:val="none"/>
              </w:rPr>
            </w:pPr>
            <w:r>
              <w:rPr>
                <w:rFonts w:eastAsia="宋体"/>
                <w:color w:val="auto"/>
                <w:highlight w:val="none"/>
              </w:rPr>
              <w:t>招标及询价</w:t>
            </w:r>
          </w:p>
        </w:tc>
        <w:tc>
          <w:tcPr>
            <w:tcW w:w="1386" w:type="dxa"/>
            <w:noWrap w:val="0"/>
            <w:vAlign w:val="center"/>
          </w:tcPr>
          <w:p>
            <w:pPr>
              <w:pStyle w:val="22"/>
              <w:spacing w:before="3"/>
              <w:jc w:val="center"/>
              <w:rPr>
                <w:rFonts w:eastAsia="宋体"/>
                <w:b/>
                <w:color w:val="auto"/>
                <w:highlight w:val="none"/>
              </w:rPr>
            </w:pPr>
          </w:p>
          <w:p>
            <w:pPr>
              <w:pStyle w:val="22"/>
              <w:ind w:left="108"/>
              <w:jc w:val="center"/>
              <w:rPr>
                <w:rFonts w:eastAsia="宋体"/>
                <w:color w:val="auto"/>
                <w:highlight w:val="none"/>
              </w:rPr>
            </w:pPr>
            <w:r>
              <w:rPr>
                <w:rFonts w:eastAsia="宋体"/>
                <w:color w:val="auto"/>
                <w:highlight w:val="none"/>
              </w:rPr>
              <w:t>公开招标</w:t>
            </w:r>
          </w:p>
        </w:tc>
        <w:tc>
          <w:tcPr>
            <w:tcW w:w="3500" w:type="dxa"/>
            <w:noWrap w:val="0"/>
            <w:vAlign w:val="top"/>
          </w:tcPr>
          <w:p>
            <w:pPr>
              <w:pStyle w:val="22"/>
              <w:spacing w:before="1" w:line="242" w:lineRule="auto"/>
              <w:ind w:left="107" w:right="94"/>
              <w:rPr>
                <w:rFonts w:eastAsia="宋体"/>
                <w:color w:val="auto"/>
                <w:highlight w:val="none"/>
              </w:rPr>
            </w:pPr>
            <w:r>
              <w:rPr>
                <w:rFonts w:eastAsia="宋体"/>
                <w:color w:val="auto"/>
                <w:spacing w:val="-7"/>
                <w:highlight w:val="none"/>
              </w:rPr>
              <w:t>根据规定，发布招标公告到</w:t>
            </w:r>
            <w:r>
              <w:rPr>
                <w:rFonts w:hint="eastAsia" w:eastAsia="宋体"/>
                <w:color w:val="auto"/>
                <w:spacing w:val="-7"/>
                <w:highlight w:val="none"/>
              </w:rPr>
              <w:t>公司</w:t>
            </w:r>
            <w:r>
              <w:rPr>
                <w:rFonts w:eastAsia="宋体"/>
                <w:color w:val="auto"/>
                <w:spacing w:val="-7"/>
                <w:highlight w:val="none"/>
              </w:rPr>
              <w:t>官网、公司及可能发布的外部资源网站，各单位均可报名，如库内单</w:t>
            </w:r>
            <w:r>
              <w:rPr>
                <w:rFonts w:eastAsia="宋体"/>
                <w:color w:val="auto"/>
                <w:spacing w:val="-5"/>
                <w:highlight w:val="none"/>
              </w:rPr>
              <w:t>位可登陆集采平台报名，库外临时单位可登陆</w:t>
            </w:r>
            <w:r>
              <w:rPr>
                <w:rFonts w:eastAsia="宋体"/>
                <w:color w:val="auto"/>
                <w:highlight w:val="none"/>
              </w:rPr>
              <w:t>集采平台</w:t>
            </w:r>
            <w:r>
              <w:rPr>
                <w:rFonts w:hint="eastAsia" w:eastAsia="宋体"/>
                <w:color w:val="auto"/>
                <w:highlight w:val="none"/>
              </w:rPr>
              <w:t>注册申请入库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56" w:type="dxa"/>
            <w:vMerge w:val="continue"/>
            <w:noWrap w:val="0"/>
            <w:vAlign w:val="top"/>
          </w:tcPr>
          <w:p>
            <w:pPr>
              <w:rPr>
                <w:rFonts w:ascii="宋体" w:hAnsi="宋体" w:eastAsia="宋体"/>
                <w:color w:val="auto"/>
                <w:sz w:val="2"/>
                <w:szCs w:val="2"/>
                <w:highlight w:val="none"/>
              </w:rPr>
            </w:pPr>
          </w:p>
        </w:tc>
        <w:tc>
          <w:tcPr>
            <w:tcW w:w="1419" w:type="dxa"/>
            <w:vMerge w:val="continue"/>
            <w:noWrap w:val="0"/>
            <w:vAlign w:val="top"/>
          </w:tcPr>
          <w:p>
            <w:pPr>
              <w:rPr>
                <w:rFonts w:ascii="宋体" w:hAnsi="宋体" w:eastAsia="宋体"/>
                <w:color w:val="auto"/>
                <w:sz w:val="2"/>
                <w:szCs w:val="2"/>
                <w:highlight w:val="none"/>
              </w:rPr>
            </w:pPr>
          </w:p>
        </w:tc>
        <w:tc>
          <w:tcPr>
            <w:tcW w:w="1170" w:type="dxa"/>
            <w:vMerge w:val="continue"/>
            <w:noWrap w:val="0"/>
            <w:vAlign w:val="center"/>
          </w:tcPr>
          <w:p>
            <w:pPr>
              <w:jc w:val="center"/>
              <w:rPr>
                <w:rFonts w:ascii="宋体" w:hAnsi="宋体" w:eastAsia="宋体"/>
                <w:color w:val="auto"/>
                <w:sz w:val="2"/>
                <w:szCs w:val="2"/>
                <w:highlight w:val="none"/>
              </w:rPr>
            </w:pPr>
          </w:p>
        </w:tc>
        <w:tc>
          <w:tcPr>
            <w:tcW w:w="1386" w:type="dxa"/>
            <w:noWrap w:val="0"/>
            <w:vAlign w:val="center"/>
          </w:tcPr>
          <w:p>
            <w:pPr>
              <w:pStyle w:val="22"/>
              <w:spacing w:before="138"/>
              <w:ind w:left="108"/>
              <w:jc w:val="center"/>
              <w:rPr>
                <w:rFonts w:eastAsia="宋体"/>
                <w:color w:val="auto"/>
                <w:highlight w:val="none"/>
              </w:rPr>
            </w:pPr>
            <w:r>
              <w:rPr>
                <w:rFonts w:eastAsia="宋体"/>
                <w:color w:val="auto"/>
                <w:highlight w:val="none"/>
              </w:rPr>
              <w:t>询价</w:t>
            </w:r>
          </w:p>
        </w:tc>
        <w:tc>
          <w:tcPr>
            <w:tcW w:w="3500" w:type="dxa"/>
            <w:noWrap w:val="0"/>
            <w:vAlign w:val="top"/>
          </w:tcPr>
          <w:p>
            <w:pPr>
              <w:pStyle w:val="22"/>
              <w:spacing w:before="1"/>
              <w:ind w:left="107"/>
              <w:rPr>
                <w:rFonts w:eastAsia="宋体"/>
                <w:color w:val="auto"/>
                <w:highlight w:val="none"/>
              </w:rPr>
            </w:pPr>
            <w:r>
              <w:rPr>
                <w:rFonts w:eastAsia="宋体"/>
                <w:color w:val="auto"/>
                <w:highlight w:val="none"/>
              </w:rPr>
              <w:t xml:space="preserve">如为询价，可发布询价单，不需发布到平台，合作单位依然可通过平台报价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56" w:type="dxa"/>
            <w:vMerge w:val="continue"/>
            <w:noWrap w:val="0"/>
            <w:vAlign w:val="top"/>
          </w:tcPr>
          <w:p>
            <w:pPr>
              <w:rPr>
                <w:rFonts w:ascii="宋体" w:hAnsi="宋体" w:eastAsia="宋体"/>
                <w:color w:val="auto"/>
                <w:sz w:val="2"/>
                <w:szCs w:val="2"/>
                <w:highlight w:val="none"/>
              </w:rPr>
            </w:pPr>
          </w:p>
        </w:tc>
        <w:tc>
          <w:tcPr>
            <w:tcW w:w="1419" w:type="dxa"/>
            <w:vMerge w:val="continue"/>
            <w:noWrap w:val="0"/>
            <w:vAlign w:val="top"/>
          </w:tcPr>
          <w:p>
            <w:pPr>
              <w:rPr>
                <w:rFonts w:ascii="宋体" w:hAnsi="宋体" w:eastAsia="宋体"/>
                <w:color w:val="auto"/>
                <w:sz w:val="2"/>
                <w:szCs w:val="2"/>
                <w:highlight w:val="none"/>
              </w:rPr>
            </w:pPr>
          </w:p>
        </w:tc>
        <w:tc>
          <w:tcPr>
            <w:tcW w:w="1170" w:type="dxa"/>
            <w:noWrap w:val="0"/>
            <w:vAlign w:val="center"/>
          </w:tcPr>
          <w:p>
            <w:pPr>
              <w:pStyle w:val="22"/>
              <w:spacing w:before="138"/>
              <w:ind w:left="108"/>
              <w:jc w:val="center"/>
              <w:rPr>
                <w:rFonts w:eastAsia="宋体"/>
                <w:color w:val="auto"/>
                <w:highlight w:val="none"/>
              </w:rPr>
            </w:pPr>
            <w:r>
              <w:rPr>
                <w:rFonts w:hint="eastAsia" w:eastAsia="宋体"/>
                <w:color w:val="auto"/>
                <w:highlight w:val="none"/>
              </w:rPr>
              <w:t>澄清</w:t>
            </w:r>
          </w:p>
        </w:tc>
        <w:tc>
          <w:tcPr>
            <w:tcW w:w="1386" w:type="dxa"/>
            <w:noWrap w:val="0"/>
            <w:vAlign w:val="center"/>
          </w:tcPr>
          <w:p>
            <w:pPr>
              <w:pStyle w:val="22"/>
              <w:spacing w:before="138"/>
              <w:ind w:left="108"/>
              <w:jc w:val="center"/>
              <w:rPr>
                <w:rFonts w:eastAsia="宋体"/>
                <w:color w:val="auto"/>
                <w:highlight w:val="none"/>
              </w:rPr>
            </w:pPr>
            <w:r>
              <w:rPr>
                <w:rFonts w:hint="eastAsia" w:eastAsia="宋体"/>
                <w:color w:val="auto"/>
                <w:highlight w:val="none"/>
              </w:rPr>
              <w:t>澄清</w:t>
            </w:r>
          </w:p>
        </w:tc>
        <w:tc>
          <w:tcPr>
            <w:tcW w:w="3500" w:type="dxa"/>
            <w:noWrap w:val="0"/>
            <w:vAlign w:val="top"/>
          </w:tcPr>
          <w:p>
            <w:pPr>
              <w:pStyle w:val="22"/>
              <w:spacing w:before="2" w:line="252" w:lineRule="exact"/>
              <w:ind w:left="107"/>
              <w:rPr>
                <w:rFonts w:eastAsia="宋体"/>
                <w:color w:val="auto"/>
                <w:highlight w:val="none"/>
              </w:rPr>
            </w:pPr>
            <w:r>
              <w:rPr>
                <w:rFonts w:hint="eastAsia" w:eastAsia="宋体"/>
                <w:color w:val="auto"/>
                <w:highlight w:val="none"/>
              </w:rPr>
              <w:t>澄清是招标</w:t>
            </w:r>
            <w:r>
              <w:rPr>
                <w:rFonts w:ascii="Heiti SC" w:hAnsi="Heiti SC" w:eastAsia="Heiti SC" w:cs="Heiti SC"/>
                <w:color w:val="auto"/>
                <w:highlight w:val="none"/>
              </w:rPr>
              <w:t>⼈</w:t>
            </w:r>
            <w:r>
              <w:rPr>
                <w:rFonts w:hint="eastAsia" w:eastAsia="宋体"/>
                <w:color w:val="auto"/>
                <w:highlight w:val="none"/>
              </w:rPr>
              <w:t>主动的对招标</w:t>
            </w:r>
            <w:r>
              <w:rPr>
                <w:rFonts w:ascii="Heiti SC" w:hAnsi="Heiti SC" w:eastAsia="Heiti SC" w:cs="Heiti SC"/>
                <w:color w:val="auto"/>
                <w:highlight w:val="none"/>
              </w:rPr>
              <w:t>⽂</w:t>
            </w:r>
            <w:r>
              <w:rPr>
                <w:rFonts w:hint="eastAsia" w:eastAsia="宋体"/>
                <w:color w:val="auto"/>
                <w:highlight w:val="none"/>
              </w:rPr>
              <w:t>件不清楚部分的解释或补充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56" w:type="dxa"/>
            <w:vMerge w:val="continue"/>
            <w:noWrap w:val="0"/>
            <w:vAlign w:val="top"/>
          </w:tcPr>
          <w:p>
            <w:pPr>
              <w:rPr>
                <w:rFonts w:ascii="宋体" w:hAnsi="宋体" w:eastAsia="宋体"/>
                <w:color w:val="auto"/>
                <w:sz w:val="2"/>
                <w:szCs w:val="2"/>
                <w:highlight w:val="none"/>
              </w:rPr>
            </w:pPr>
          </w:p>
        </w:tc>
        <w:tc>
          <w:tcPr>
            <w:tcW w:w="1419" w:type="dxa"/>
            <w:vMerge w:val="continue"/>
            <w:noWrap w:val="0"/>
            <w:vAlign w:val="top"/>
          </w:tcPr>
          <w:p>
            <w:pPr>
              <w:rPr>
                <w:rFonts w:ascii="宋体" w:hAnsi="宋体" w:eastAsia="宋体"/>
                <w:color w:val="auto"/>
                <w:sz w:val="2"/>
                <w:szCs w:val="2"/>
                <w:highlight w:val="none"/>
              </w:rPr>
            </w:pPr>
          </w:p>
        </w:tc>
        <w:tc>
          <w:tcPr>
            <w:tcW w:w="1170" w:type="dxa"/>
            <w:noWrap w:val="0"/>
            <w:vAlign w:val="center"/>
          </w:tcPr>
          <w:p>
            <w:pPr>
              <w:pStyle w:val="22"/>
              <w:spacing w:before="138"/>
              <w:ind w:left="108"/>
              <w:jc w:val="center"/>
              <w:rPr>
                <w:rFonts w:eastAsia="宋体"/>
                <w:color w:val="auto"/>
                <w:highlight w:val="none"/>
              </w:rPr>
            </w:pPr>
            <w:r>
              <w:rPr>
                <w:rFonts w:hint="eastAsia" w:eastAsia="宋体"/>
                <w:color w:val="auto"/>
                <w:highlight w:val="none"/>
              </w:rPr>
              <w:t>答疑</w:t>
            </w:r>
          </w:p>
        </w:tc>
        <w:tc>
          <w:tcPr>
            <w:tcW w:w="1386" w:type="dxa"/>
            <w:noWrap w:val="0"/>
            <w:vAlign w:val="center"/>
          </w:tcPr>
          <w:p>
            <w:pPr>
              <w:pStyle w:val="22"/>
              <w:spacing w:before="138"/>
              <w:ind w:left="108"/>
              <w:jc w:val="center"/>
              <w:rPr>
                <w:rFonts w:eastAsia="宋体"/>
                <w:color w:val="auto"/>
                <w:highlight w:val="none"/>
              </w:rPr>
            </w:pPr>
            <w:r>
              <w:rPr>
                <w:rFonts w:hint="eastAsia" w:eastAsia="宋体"/>
                <w:color w:val="auto"/>
                <w:highlight w:val="none"/>
              </w:rPr>
              <w:t>答疑</w:t>
            </w:r>
          </w:p>
        </w:tc>
        <w:tc>
          <w:tcPr>
            <w:tcW w:w="3500" w:type="dxa"/>
            <w:noWrap w:val="0"/>
            <w:vAlign w:val="top"/>
          </w:tcPr>
          <w:p>
            <w:pPr>
              <w:pStyle w:val="22"/>
              <w:spacing w:before="2" w:line="252" w:lineRule="exact"/>
              <w:ind w:left="107"/>
              <w:rPr>
                <w:rFonts w:eastAsia="宋体"/>
                <w:color w:val="auto"/>
                <w:highlight w:val="none"/>
              </w:rPr>
            </w:pPr>
            <w:r>
              <w:rPr>
                <w:rFonts w:hint="eastAsia" w:eastAsia="宋体"/>
                <w:color w:val="auto"/>
                <w:highlight w:val="none"/>
              </w:rPr>
              <w:t>答疑主要指针对投标</w:t>
            </w:r>
            <w:r>
              <w:rPr>
                <w:rFonts w:ascii="Heiti SC" w:hAnsi="Heiti SC" w:eastAsia="Heiti SC" w:cs="Heiti SC"/>
                <w:color w:val="auto"/>
                <w:highlight w:val="none"/>
              </w:rPr>
              <w:t>⼈</w:t>
            </w:r>
            <w:r>
              <w:rPr>
                <w:rFonts w:hint="eastAsia" w:eastAsia="宋体"/>
                <w:color w:val="auto"/>
                <w:highlight w:val="none"/>
              </w:rPr>
              <w:t>提出的疑问进</w:t>
            </w:r>
            <w:r>
              <w:rPr>
                <w:rFonts w:ascii="Heiti SC" w:hAnsi="Heiti SC" w:eastAsia="Heiti SC" w:cs="Heiti SC"/>
                <w:color w:val="auto"/>
                <w:highlight w:val="none"/>
              </w:rPr>
              <w:t>⾏</w:t>
            </w:r>
            <w:r>
              <w:rPr>
                <w:rFonts w:hint="eastAsia" w:eastAsia="宋体"/>
                <w:color w:val="auto"/>
                <w:highlight w:val="none"/>
              </w:rPr>
              <w:t>回复，被动的。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56" w:type="dxa"/>
            <w:vMerge w:val="continue"/>
            <w:noWrap w:val="0"/>
            <w:vAlign w:val="top"/>
          </w:tcPr>
          <w:p>
            <w:pPr>
              <w:rPr>
                <w:rFonts w:ascii="宋体" w:hAnsi="宋体" w:eastAsia="宋体"/>
                <w:color w:val="auto"/>
                <w:sz w:val="2"/>
                <w:szCs w:val="2"/>
                <w:highlight w:val="none"/>
              </w:rPr>
            </w:pPr>
          </w:p>
        </w:tc>
        <w:tc>
          <w:tcPr>
            <w:tcW w:w="1419" w:type="dxa"/>
            <w:vMerge w:val="continue"/>
            <w:noWrap w:val="0"/>
            <w:vAlign w:val="top"/>
          </w:tcPr>
          <w:p>
            <w:pPr>
              <w:rPr>
                <w:rFonts w:ascii="宋体" w:hAnsi="宋体" w:eastAsia="宋体"/>
                <w:color w:val="auto"/>
                <w:sz w:val="2"/>
                <w:szCs w:val="2"/>
                <w:highlight w:val="none"/>
              </w:rPr>
            </w:pPr>
          </w:p>
        </w:tc>
        <w:tc>
          <w:tcPr>
            <w:tcW w:w="1170" w:type="dxa"/>
            <w:vMerge w:val="restart"/>
            <w:noWrap w:val="0"/>
            <w:vAlign w:val="center"/>
          </w:tcPr>
          <w:p>
            <w:pPr>
              <w:pStyle w:val="22"/>
              <w:spacing w:before="3"/>
              <w:jc w:val="center"/>
              <w:rPr>
                <w:rFonts w:eastAsia="宋体"/>
                <w:color w:val="auto"/>
                <w:sz w:val="24"/>
                <w:highlight w:val="none"/>
              </w:rPr>
            </w:pPr>
          </w:p>
          <w:p>
            <w:pPr>
              <w:pStyle w:val="22"/>
              <w:ind w:left="109"/>
              <w:jc w:val="center"/>
              <w:rPr>
                <w:rFonts w:eastAsia="宋体"/>
                <w:color w:val="auto"/>
                <w:highlight w:val="none"/>
              </w:rPr>
            </w:pPr>
            <w:r>
              <w:rPr>
                <w:rFonts w:eastAsia="宋体"/>
                <w:color w:val="auto"/>
                <w:highlight w:val="none"/>
              </w:rPr>
              <w:t>评标</w:t>
            </w:r>
          </w:p>
        </w:tc>
        <w:tc>
          <w:tcPr>
            <w:tcW w:w="1386" w:type="dxa"/>
            <w:noWrap w:val="0"/>
            <w:vAlign w:val="center"/>
          </w:tcPr>
          <w:p>
            <w:pPr>
              <w:pStyle w:val="22"/>
              <w:spacing w:before="137"/>
              <w:ind w:left="108"/>
              <w:jc w:val="center"/>
              <w:rPr>
                <w:rFonts w:eastAsia="宋体"/>
                <w:color w:val="auto"/>
                <w:highlight w:val="none"/>
              </w:rPr>
            </w:pPr>
            <w:r>
              <w:rPr>
                <w:rFonts w:eastAsia="宋体"/>
                <w:color w:val="auto"/>
                <w:highlight w:val="none"/>
              </w:rPr>
              <w:t>现场开标</w:t>
            </w:r>
          </w:p>
        </w:tc>
        <w:tc>
          <w:tcPr>
            <w:tcW w:w="3500" w:type="dxa"/>
            <w:noWrap w:val="0"/>
            <w:vAlign w:val="top"/>
          </w:tcPr>
          <w:p>
            <w:pPr>
              <w:pStyle w:val="22"/>
              <w:spacing w:before="1"/>
              <w:ind w:left="107" w:right="-15"/>
              <w:rPr>
                <w:rFonts w:eastAsia="宋体"/>
                <w:color w:val="auto"/>
                <w:highlight w:val="none"/>
              </w:rPr>
            </w:pPr>
            <w:r>
              <w:rPr>
                <w:rFonts w:eastAsia="宋体"/>
                <w:color w:val="auto"/>
                <w:spacing w:val="-7"/>
                <w:highlight w:val="none"/>
              </w:rPr>
              <w:t>如招标需现场开标，可召集评标</w:t>
            </w:r>
            <w:r>
              <w:rPr>
                <w:rFonts w:eastAsia="宋体"/>
                <w:color w:val="auto"/>
                <w:highlight w:val="none"/>
              </w:rPr>
              <w:t>/</w:t>
            </w:r>
            <w:r>
              <w:rPr>
                <w:rFonts w:eastAsia="宋体"/>
                <w:color w:val="auto"/>
                <w:spacing w:val="-3"/>
                <w:highlight w:val="none"/>
              </w:rPr>
              <w:t>定标人现场开标，</w:t>
            </w:r>
            <w:r>
              <w:rPr>
                <w:rFonts w:eastAsia="宋体"/>
                <w:color w:val="auto"/>
                <w:highlight w:val="none"/>
              </w:rPr>
              <w:t>可通过集采平台现场评标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6" w:type="dxa"/>
            <w:vMerge w:val="continue"/>
            <w:noWrap w:val="0"/>
            <w:vAlign w:val="top"/>
          </w:tcPr>
          <w:p>
            <w:pPr>
              <w:rPr>
                <w:rFonts w:ascii="宋体" w:hAnsi="宋体" w:eastAsia="宋体"/>
                <w:color w:val="auto"/>
                <w:sz w:val="2"/>
                <w:szCs w:val="2"/>
                <w:highlight w:val="none"/>
              </w:rPr>
            </w:pPr>
          </w:p>
        </w:tc>
        <w:tc>
          <w:tcPr>
            <w:tcW w:w="1419" w:type="dxa"/>
            <w:vMerge w:val="continue"/>
            <w:noWrap w:val="0"/>
            <w:vAlign w:val="top"/>
          </w:tcPr>
          <w:p>
            <w:pPr>
              <w:rPr>
                <w:rFonts w:ascii="宋体" w:hAnsi="宋体" w:eastAsia="宋体"/>
                <w:color w:val="auto"/>
                <w:sz w:val="2"/>
                <w:szCs w:val="2"/>
                <w:highlight w:val="none"/>
              </w:rPr>
            </w:pPr>
          </w:p>
        </w:tc>
        <w:tc>
          <w:tcPr>
            <w:tcW w:w="1170" w:type="dxa"/>
            <w:vMerge w:val="continue"/>
            <w:tcBorders>
              <w:top w:val="nil"/>
            </w:tcBorders>
            <w:noWrap w:val="0"/>
            <w:vAlign w:val="center"/>
          </w:tcPr>
          <w:p>
            <w:pPr>
              <w:jc w:val="center"/>
              <w:rPr>
                <w:rFonts w:ascii="宋体" w:hAnsi="宋体" w:eastAsia="宋体"/>
                <w:color w:val="auto"/>
                <w:sz w:val="2"/>
                <w:szCs w:val="2"/>
                <w:highlight w:val="none"/>
              </w:rPr>
            </w:pPr>
          </w:p>
        </w:tc>
        <w:tc>
          <w:tcPr>
            <w:tcW w:w="1386" w:type="dxa"/>
            <w:noWrap w:val="0"/>
            <w:vAlign w:val="center"/>
          </w:tcPr>
          <w:p>
            <w:pPr>
              <w:pStyle w:val="22"/>
              <w:spacing w:before="1" w:line="252" w:lineRule="exact"/>
              <w:ind w:left="108"/>
              <w:jc w:val="center"/>
              <w:rPr>
                <w:rFonts w:eastAsia="宋体"/>
                <w:color w:val="auto"/>
                <w:highlight w:val="none"/>
              </w:rPr>
            </w:pPr>
            <w:r>
              <w:rPr>
                <w:rFonts w:eastAsia="宋体"/>
                <w:color w:val="auto"/>
                <w:highlight w:val="none"/>
              </w:rPr>
              <w:t>网络评标</w:t>
            </w:r>
          </w:p>
        </w:tc>
        <w:tc>
          <w:tcPr>
            <w:tcW w:w="3500" w:type="dxa"/>
            <w:noWrap w:val="0"/>
            <w:vAlign w:val="top"/>
          </w:tcPr>
          <w:p>
            <w:pPr>
              <w:pStyle w:val="22"/>
              <w:spacing w:before="1" w:line="252" w:lineRule="exact"/>
              <w:ind w:left="107"/>
              <w:rPr>
                <w:rFonts w:eastAsia="宋体"/>
                <w:color w:val="auto"/>
                <w:highlight w:val="none"/>
              </w:rPr>
            </w:pPr>
            <w:r>
              <w:rPr>
                <w:rFonts w:eastAsia="宋体"/>
                <w:color w:val="auto"/>
                <w:highlight w:val="none"/>
              </w:rPr>
              <w:t xml:space="preserve">如可通过线上评标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956" w:type="dxa"/>
            <w:vMerge w:val="continue"/>
            <w:noWrap w:val="0"/>
            <w:vAlign w:val="top"/>
          </w:tcPr>
          <w:p>
            <w:pPr>
              <w:rPr>
                <w:rFonts w:ascii="宋体" w:hAnsi="宋体" w:eastAsia="宋体"/>
                <w:color w:val="auto"/>
                <w:sz w:val="2"/>
                <w:szCs w:val="2"/>
                <w:highlight w:val="none"/>
              </w:rPr>
            </w:pPr>
          </w:p>
        </w:tc>
        <w:tc>
          <w:tcPr>
            <w:tcW w:w="1419" w:type="dxa"/>
            <w:vMerge w:val="continue"/>
            <w:noWrap w:val="0"/>
            <w:vAlign w:val="top"/>
          </w:tcPr>
          <w:p>
            <w:pPr>
              <w:rPr>
                <w:rFonts w:ascii="宋体" w:hAnsi="宋体" w:eastAsia="宋体"/>
                <w:color w:val="auto"/>
                <w:sz w:val="2"/>
                <w:szCs w:val="2"/>
                <w:highlight w:val="none"/>
              </w:rPr>
            </w:pPr>
          </w:p>
        </w:tc>
        <w:tc>
          <w:tcPr>
            <w:tcW w:w="1170" w:type="dxa"/>
            <w:noWrap w:val="0"/>
            <w:vAlign w:val="center"/>
          </w:tcPr>
          <w:p>
            <w:pPr>
              <w:pStyle w:val="22"/>
              <w:spacing w:before="143"/>
              <w:ind w:left="109"/>
              <w:jc w:val="center"/>
              <w:rPr>
                <w:rFonts w:eastAsia="宋体"/>
                <w:color w:val="auto"/>
                <w:highlight w:val="none"/>
              </w:rPr>
            </w:pPr>
            <w:r>
              <w:rPr>
                <w:rFonts w:hint="eastAsia" w:eastAsia="宋体"/>
                <w:color w:val="auto"/>
                <w:highlight w:val="none"/>
              </w:rPr>
              <w:t>中标结果公示及数据推送</w:t>
            </w:r>
          </w:p>
        </w:tc>
        <w:tc>
          <w:tcPr>
            <w:tcW w:w="1386" w:type="dxa"/>
            <w:noWrap w:val="0"/>
            <w:vAlign w:val="center"/>
          </w:tcPr>
          <w:p>
            <w:pPr>
              <w:pStyle w:val="22"/>
              <w:spacing w:before="3" w:line="250" w:lineRule="exact"/>
              <w:ind w:left="108"/>
              <w:jc w:val="center"/>
              <w:rPr>
                <w:rFonts w:eastAsia="宋体"/>
                <w:color w:val="auto"/>
                <w:highlight w:val="none"/>
              </w:rPr>
            </w:pPr>
            <w:r>
              <w:rPr>
                <w:rFonts w:hint="eastAsia" w:eastAsia="宋体"/>
                <w:color w:val="auto"/>
                <w:highlight w:val="none"/>
              </w:rPr>
              <w:t>中标公告</w:t>
            </w:r>
          </w:p>
        </w:tc>
        <w:tc>
          <w:tcPr>
            <w:tcW w:w="3500" w:type="dxa"/>
            <w:noWrap w:val="0"/>
            <w:vAlign w:val="top"/>
          </w:tcPr>
          <w:p>
            <w:pPr>
              <w:pStyle w:val="22"/>
              <w:spacing w:before="1" w:line="250" w:lineRule="exact"/>
              <w:ind w:left="107"/>
              <w:rPr>
                <w:rFonts w:eastAsia="宋体"/>
                <w:color w:val="auto"/>
                <w:highlight w:val="none"/>
                <w:lang w:val="en-US"/>
              </w:rPr>
            </w:pPr>
            <w:r>
              <w:rPr>
                <w:rFonts w:hint="eastAsia" w:eastAsia="宋体"/>
                <w:color w:val="auto"/>
                <w:highlight w:val="none"/>
                <w:lang w:val="en-US"/>
              </w:rPr>
              <w:t>将评标结果推送到OA系统中，并将</w:t>
            </w:r>
            <w:r>
              <w:rPr>
                <w:rFonts w:hint="eastAsia" w:eastAsia="宋体"/>
                <w:color w:val="auto"/>
                <w:highlight w:val="none"/>
              </w:rPr>
              <w:t>中标公告发布到网站或推送中标单位后台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 w:hRule="atLeast"/>
        </w:trPr>
        <w:tc>
          <w:tcPr>
            <w:tcW w:w="956" w:type="dxa"/>
            <w:vMerge w:val="restart"/>
            <w:noWrap w:val="0"/>
            <w:vAlign w:val="top"/>
          </w:tcPr>
          <w:p>
            <w:pPr>
              <w:pStyle w:val="22"/>
              <w:spacing w:before="143"/>
              <w:ind w:left="109"/>
              <w:rPr>
                <w:rFonts w:eastAsia="宋体"/>
                <w:color w:val="auto"/>
                <w:highlight w:val="none"/>
                <w:lang w:val="en-US"/>
              </w:rPr>
            </w:pPr>
            <w:r>
              <w:rPr>
                <w:rFonts w:hint="eastAsia" w:eastAsia="宋体"/>
                <w:color w:val="auto"/>
                <w:highlight w:val="none"/>
              </w:rPr>
              <w:t>供应商</w:t>
            </w:r>
            <w:r>
              <w:rPr>
                <w:rFonts w:hint="eastAsia" w:eastAsia="宋体"/>
                <w:color w:val="auto"/>
                <w:highlight w:val="none"/>
                <w:lang w:val="en-US"/>
              </w:rPr>
              <w:t>&amp;公司</w:t>
            </w:r>
          </w:p>
        </w:tc>
        <w:tc>
          <w:tcPr>
            <w:tcW w:w="1419" w:type="dxa"/>
            <w:vMerge w:val="restart"/>
            <w:noWrap w:val="0"/>
            <w:vAlign w:val="top"/>
          </w:tcPr>
          <w:p>
            <w:pPr>
              <w:pStyle w:val="22"/>
              <w:spacing w:before="143"/>
              <w:ind w:left="109"/>
              <w:rPr>
                <w:rFonts w:eastAsia="宋体"/>
                <w:color w:val="auto"/>
                <w:highlight w:val="none"/>
              </w:rPr>
            </w:pPr>
            <w:r>
              <w:rPr>
                <w:rFonts w:hint="eastAsia" w:eastAsia="宋体"/>
                <w:color w:val="auto"/>
                <w:highlight w:val="none"/>
              </w:rPr>
              <w:t>招标大厅</w:t>
            </w:r>
          </w:p>
        </w:tc>
        <w:tc>
          <w:tcPr>
            <w:tcW w:w="1170" w:type="dxa"/>
            <w:vMerge w:val="restart"/>
            <w:tcBorders>
              <w:top w:val="nil"/>
            </w:tcBorders>
            <w:noWrap w:val="0"/>
            <w:vAlign w:val="center"/>
          </w:tcPr>
          <w:p>
            <w:pPr>
              <w:pStyle w:val="22"/>
              <w:spacing w:before="143"/>
              <w:ind w:left="109"/>
              <w:jc w:val="center"/>
              <w:rPr>
                <w:rFonts w:eastAsia="宋体"/>
                <w:color w:val="auto"/>
                <w:highlight w:val="none"/>
              </w:rPr>
            </w:pPr>
            <w:r>
              <w:rPr>
                <w:rFonts w:eastAsia="宋体"/>
                <w:color w:val="auto"/>
                <w:highlight w:val="none"/>
              </w:rPr>
              <w:t>招标</w:t>
            </w:r>
          </w:p>
        </w:tc>
        <w:tc>
          <w:tcPr>
            <w:tcW w:w="1386" w:type="dxa"/>
            <w:noWrap w:val="0"/>
            <w:vAlign w:val="center"/>
          </w:tcPr>
          <w:p>
            <w:pPr>
              <w:pStyle w:val="22"/>
              <w:spacing w:before="3" w:line="250" w:lineRule="exact"/>
              <w:ind w:left="108"/>
              <w:jc w:val="center"/>
              <w:rPr>
                <w:rFonts w:eastAsia="宋体"/>
                <w:color w:val="auto"/>
                <w:highlight w:val="none"/>
              </w:rPr>
            </w:pPr>
            <w:r>
              <w:rPr>
                <w:rFonts w:hint="eastAsia" w:eastAsia="宋体"/>
                <w:color w:val="auto"/>
                <w:highlight w:val="none"/>
              </w:rPr>
              <w:t>项目公告</w:t>
            </w:r>
          </w:p>
        </w:tc>
        <w:tc>
          <w:tcPr>
            <w:tcW w:w="3500" w:type="dxa"/>
            <w:noWrap w:val="0"/>
            <w:vAlign w:val="top"/>
          </w:tcPr>
          <w:p>
            <w:pPr>
              <w:pStyle w:val="22"/>
              <w:spacing w:before="1" w:line="252" w:lineRule="exact"/>
              <w:ind w:left="107"/>
              <w:rPr>
                <w:rFonts w:eastAsia="宋体"/>
                <w:color w:val="auto"/>
                <w:highlight w:val="none"/>
              </w:rPr>
            </w:pPr>
            <w:r>
              <w:rPr>
                <w:rFonts w:hint="eastAsia" w:eastAsia="宋体"/>
                <w:color w:val="auto"/>
                <w:highlight w:val="none"/>
              </w:rPr>
              <w:t>展示</w:t>
            </w:r>
            <w:r>
              <w:rPr>
                <w:rFonts w:eastAsia="宋体"/>
                <w:color w:val="auto"/>
                <w:highlight w:val="none"/>
              </w:rPr>
              <w:t>基本信息</w:t>
            </w:r>
            <w:r>
              <w:rPr>
                <w:rFonts w:hint="eastAsia" w:eastAsia="宋体"/>
                <w:color w:val="auto"/>
                <w:highlight w:val="none"/>
              </w:rPr>
              <w:t>，</w:t>
            </w:r>
            <w:r>
              <w:rPr>
                <w:rFonts w:eastAsia="宋体"/>
                <w:color w:val="auto"/>
                <w:highlight w:val="none"/>
              </w:rPr>
              <w:t>招标计划</w:t>
            </w:r>
            <w:r>
              <w:rPr>
                <w:rFonts w:hint="eastAsia" w:eastAsia="宋体"/>
                <w:color w:val="auto"/>
                <w:highlight w:val="none"/>
              </w:rPr>
              <w:t>，</w:t>
            </w:r>
            <w:r>
              <w:rPr>
                <w:rFonts w:eastAsia="宋体"/>
                <w:color w:val="auto"/>
                <w:highlight w:val="none"/>
              </w:rPr>
              <w:t>标的信息</w:t>
            </w:r>
            <w:r>
              <w:rPr>
                <w:rFonts w:hint="eastAsia" w:eastAsia="宋体"/>
                <w:color w:val="auto"/>
                <w:highlight w:val="none"/>
              </w:rPr>
              <w:t>，</w:t>
            </w:r>
            <w:r>
              <w:rPr>
                <w:rFonts w:eastAsia="宋体"/>
                <w:color w:val="auto"/>
                <w:highlight w:val="none"/>
              </w:rPr>
              <w:t>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 w:hRule="atLeast"/>
        </w:trPr>
        <w:tc>
          <w:tcPr>
            <w:tcW w:w="956" w:type="dxa"/>
            <w:vMerge w:val="continue"/>
            <w:noWrap w:val="0"/>
            <w:vAlign w:val="top"/>
          </w:tcPr>
          <w:p>
            <w:pPr>
              <w:pStyle w:val="22"/>
              <w:spacing w:before="143"/>
              <w:ind w:left="109"/>
              <w:rPr>
                <w:rFonts w:eastAsia="宋体"/>
                <w:color w:val="auto"/>
                <w:highlight w:val="none"/>
              </w:rPr>
            </w:pPr>
          </w:p>
        </w:tc>
        <w:tc>
          <w:tcPr>
            <w:tcW w:w="1419" w:type="dxa"/>
            <w:vMerge w:val="continue"/>
            <w:noWrap w:val="0"/>
            <w:vAlign w:val="top"/>
          </w:tcPr>
          <w:p>
            <w:pPr>
              <w:pStyle w:val="22"/>
              <w:spacing w:before="143"/>
              <w:ind w:left="109"/>
              <w:rPr>
                <w:rFonts w:eastAsia="宋体"/>
                <w:color w:val="auto"/>
                <w:highlight w:val="none"/>
              </w:rPr>
            </w:pPr>
          </w:p>
        </w:tc>
        <w:tc>
          <w:tcPr>
            <w:tcW w:w="1170" w:type="dxa"/>
            <w:vMerge w:val="continue"/>
            <w:noWrap w:val="0"/>
            <w:vAlign w:val="center"/>
          </w:tcPr>
          <w:p>
            <w:pPr>
              <w:pStyle w:val="22"/>
              <w:spacing w:before="143"/>
              <w:ind w:left="109"/>
              <w:jc w:val="center"/>
              <w:rPr>
                <w:rFonts w:eastAsia="宋体"/>
                <w:color w:val="auto"/>
                <w:highlight w:val="none"/>
              </w:rPr>
            </w:pPr>
          </w:p>
        </w:tc>
        <w:tc>
          <w:tcPr>
            <w:tcW w:w="1386" w:type="dxa"/>
            <w:noWrap w:val="0"/>
            <w:vAlign w:val="center"/>
          </w:tcPr>
          <w:p>
            <w:pPr>
              <w:pStyle w:val="22"/>
              <w:spacing w:before="1" w:line="252" w:lineRule="exact"/>
              <w:ind w:left="107"/>
              <w:jc w:val="center"/>
              <w:rPr>
                <w:rFonts w:eastAsia="宋体"/>
                <w:color w:val="auto"/>
                <w:highlight w:val="none"/>
              </w:rPr>
            </w:pPr>
            <w:r>
              <w:rPr>
                <w:rFonts w:hint="eastAsia" w:eastAsia="宋体"/>
                <w:color w:val="auto"/>
                <w:highlight w:val="none"/>
              </w:rPr>
              <w:t>供应商列表</w:t>
            </w:r>
          </w:p>
        </w:tc>
        <w:tc>
          <w:tcPr>
            <w:tcW w:w="3500" w:type="dxa"/>
            <w:noWrap w:val="0"/>
            <w:vAlign w:val="top"/>
          </w:tcPr>
          <w:p>
            <w:pPr>
              <w:pStyle w:val="22"/>
              <w:spacing w:before="1" w:line="252" w:lineRule="exact"/>
              <w:ind w:left="107"/>
              <w:rPr>
                <w:rFonts w:eastAsia="宋体"/>
                <w:color w:val="auto"/>
                <w:highlight w:val="none"/>
              </w:rPr>
            </w:pPr>
            <w:r>
              <w:rPr>
                <w:rFonts w:hint="eastAsia" w:eastAsia="宋体"/>
                <w:color w:val="auto"/>
                <w:highlight w:val="none"/>
              </w:rPr>
              <w:t>展示</w:t>
            </w:r>
            <w:r>
              <w:rPr>
                <w:rFonts w:eastAsia="宋体"/>
                <w:color w:val="auto"/>
                <w:highlight w:val="none"/>
              </w:rPr>
              <w:t>参与供应商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56" w:type="dxa"/>
            <w:vMerge w:val="continue"/>
            <w:noWrap w:val="0"/>
            <w:vAlign w:val="top"/>
          </w:tcPr>
          <w:p>
            <w:pPr>
              <w:pStyle w:val="22"/>
              <w:spacing w:before="143"/>
              <w:ind w:left="109"/>
              <w:rPr>
                <w:rFonts w:eastAsia="宋体"/>
                <w:color w:val="auto"/>
                <w:highlight w:val="none"/>
              </w:rPr>
            </w:pPr>
          </w:p>
        </w:tc>
        <w:tc>
          <w:tcPr>
            <w:tcW w:w="1419" w:type="dxa"/>
            <w:vMerge w:val="continue"/>
            <w:noWrap w:val="0"/>
            <w:vAlign w:val="top"/>
          </w:tcPr>
          <w:p>
            <w:pPr>
              <w:pStyle w:val="22"/>
              <w:spacing w:before="143"/>
              <w:ind w:left="109"/>
              <w:rPr>
                <w:rFonts w:eastAsia="宋体"/>
                <w:color w:val="auto"/>
                <w:highlight w:val="none"/>
              </w:rPr>
            </w:pPr>
          </w:p>
        </w:tc>
        <w:tc>
          <w:tcPr>
            <w:tcW w:w="1170" w:type="dxa"/>
            <w:vMerge w:val="continue"/>
            <w:noWrap w:val="0"/>
            <w:vAlign w:val="center"/>
          </w:tcPr>
          <w:p>
            <w:pPr>
              <w:pStyle w:val="22"/>
              <w:spacing w:before="143"/>
              <w:ind w:left="109"/>
              <w:jc w:val="center"/>
              <w:rPr>
                <w:rFonts w:eastAsia="宋体"/>
                <w:color w:val="auto"/>
                <w:highlight w:val="none"/>
              </w:rPr>
            </w:pPr>
          </w:p>
        </w:tc>
        <w:tc>
          <w:tcPr>
            <w:tcW w:w="1386" w:type="dxa"/>
            <w:noWrap w:val="0"/>
            <w:vAlign w:val="center"/>
          </w:tcPr>
          <w:p>
            <w:pPr>
              <w:pStyle w:val="22"/>
              <w:spacing w:before="1" w:line="252" w:lineRule="exact"/>
              <w:ind w:left="107"/>
              <w:jc w:val="center"/>
              <w:rPr>
                <w:rFonts w:eastAsia="宋体"/>
                <w:color w:val="auto"/>
                <w:highlight w:val="none"/>
              </w:rPr>
            </w:pPr>
            <w:r>
              <w:rPr>
                <w:rFonts w:hint="eastAsia" w:eastAsia="宋体"/>
                <w:color w:val="auto"/>
                <w:highlight w:val="none"/>
              </w:rPr>
              <w:t>开通权限</w:t>
            </w:r>
          </w:p>
        </w:tc>
        <w:tc>
          <w:tcPr>
            <w:tcW w:w="3500" w:type="dxa"/>
            <w:noWrap w:val="0"/>
            <w:vAlign w:val="top"/>
          </w:tcPr>
          <w:p>
            <w:pPr>
              <w:pStyle w:val="22"/>
              <w:spacing w:before="3" w:line="250" w:lineRule="exact"/>
              <w:ind w:left="107"/>
              <w:rPr>
                <w:rFonts w:eastAsia="宋体"/>
                <w:color w:val="auto"/>
                <w:highlight w:val="none"/>
              </w:rPr>
            </w:pPr>
            <w:r>
              <w:rPr>
                <w:rFonts w:hint="eastAsia" w:eastAsia="宋体"/>
                <w:color w:val="auto"/>
                <w:highlight w:val="none"/>
              </w:rPr>
              <w:t>设置供应商查看标书和投标权限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 w:hRule="atLeast"/>
        </w:trPr>
        <w:tc>
          <w:tcPr>
            <w:tcW w:w="956" w:type="dxa"/>
            <w:vMerge w:val="continue"/>
            <w:noWrap w:val="0"/>
            <w:vAlign w:val="top"/>
          </w:tcPr>
          <w:p>
            <w:pPr>
              <w:pStyle w:val="22"/>
              <w:spacing w:before="143"/>
              <w:ind w:left="109"/>
              <w:rPr>
                <w:rFonts w:eastAsia="宋体"/>
                <w:color w:val="auto"/>
                <w:highlight w:val="none"/>
              </w:rPr>
            </w:pPr>
          </w:p>
        </w:tc>
        <w:tc>
          <w:tcPr>
            <w:tcW w:w="1419" w:type="dxa"/>
            <w:vMerge w:val="continue"/>
            <w:noWrap w:val="0"/>
            <w:vAlign w:val="top"/>
          </w:tcPr>
          <w:p>
            <w:pPr>
              <w:pStyle w:val="22"/>
              <w:spacing w:before="143"/>
              <w:ind w:left="109"/>
              <w:rPr>
                <w:rFonts w:eastAsia="宋体"/>
                <w:color w:val="auto"/>
                <w:highlight w:val="none"/>
              </w:rPr>
            </w:pPr>
          </w:p>
        </w:tc>
        <w:tc>
          <w:tcPr>
            <w:tcW w:w="1170" w:type="dxa"/>
            <w:vMerge w:val="continue"/>
            <w:noWrap w:val="0"/>
            <w:vAlign w:val="center"/>
          </w:tcPr>
          <w:p>
            <w:pPr>
              <w:pStyle w:val="22"/>
              <w:spacing w:before="143"/>
              <w:ind w:left="109"/>
              <w:jc w:val="center"/>
              <w:rPr>
                <w:rFonts w:eastAsia="宋体"/>
                <w:color w:val="auto"/>
                <w:highlight w:val="none"/>
              </w:rPr>
            </w:pPr>
          </w:p>
        </w:tc>
        <w:tc>
          <w:tcPr>
            <w:tcW w:w="1386" w:type="dxa"/>
            <w:noWrap w:val="0"/>
            <w:vAlign w:val="center"/>
          </w:tcPr>
          <w:p>
            <w:pPr>
              <w:pStyle w:val="22"/>
              <w:spacing w:before="1" w:line="252" w:lineRule="exact"/>
              <w:ind w:left="107"/>
              <w:jc w:val="center"/>
              <w:rPr>
                <w:rFonts w:eastAsia="宋体"/>
                <w:color w:val="auto"/>
                <w:highlight w:val="none"/>
              </w:rPr>
            </w:pPr>
            <w:r>
              <w:rPr>
                <w:rFonts w:hint="eastAsia" w:eastAsia="宋体"/>
                <w:color w:val="auto"/>
                <w:highlight w:val="none"/>
              </w:rPr>
              <w:t>设置参与人员</w:t>
            </w:r>
          </w:p>
        </w:tc>
        <w:tc>
          <w:tcPr>
            <w:tcW w:w="3500" w:type="dxa"/>
            <w:noWrap w:val="0"/>
            <w:vAlign w:val="top"/>
          </w:tcPr>
          <w:p>
            <w:pPr>
              <w:pStyle w:val="22"/>
              <w:spacing w:before="3" w:line="250" w:lineRule="exact"/>
              <w:ind w:left="107"/>
              <w:rPr>
                <w:rFonts w:eastAsia="宋体"/>
                <w:color w:val="auto"/>
                <w:highlight w:val="none"/>
              </w:rPr>
            </w:pPr>
            <w:r>
              <w:rPr>
                <w:rFonts w:hint="eastAsia" w:eastAsia="宋体"/>
                <w:color w:val="auto"/>
                <w:highlight w:val="none"/>
              </w:rPr>
              <w:t>设置添加评标人员和招标小组成员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56" w:type="dxa"/>
            <w:vMerge w:val="continue"/>
            <w:noWrap w:val="0"/>
            <w:vAlign w:val="top"/>
          </w:tcPr>
          <w:p>
            <w:pPr>
              <w:pStyle w:val="22"/>
              <w:spacing w:before="143"/>
              <w:ind w:left="109"/>
              <w:rPr>
                <w:rFonts w:eastAsia="宋体"/>
                <w:color w:val="auto"/>
                <w:highlight w:val="none"/>
              </w:rPr>
            </w:pPr>
          </w:p>
        </w:tc>
        <w:tc>
          <w:tcPr>
            <w:tcW w:w="1419" w:type="dxa"/>
            <w:vMerge w:val="continue"/>
            <w:noWrap w:val="0"/>
            <w:vAlign w:val="top"/>
          </w:tcPr>
          <w:p>
            <w:pPr>
              <w:pStyle w:val="22"/>
              <w:spacing w:before="143"/>
              <w:ind w:left="109"/>
              <w:rPr>
                <w:rFonts w:eastAsia="宋体"/>
                <w:color w:val="auto"/>
                <w:highlight w:val="none"/>
              </w:rPr>
            </w:pPr>
          </w:p>
        </w:tc>
        <w:tc>
          <w:tcPr>
            <w:tcW w:w="1170" w:type="dxa"/>
            <w:vMerge w:val="continue"/>
            <w:noWrap w:val="0"/>
            <w:vAlign w:val="center"/>
          </w:tcPr>
          <w:p>
            <w:pPr>
              <w:pStyle w:val="22"/>
              <w:spacing w:before="3" w:line="250" w:lineRule="exact"/>
              <w:ind w:left="107"/>
              <w:jc w:val="center"/>
              <w:rPr>
                <w:rFonts w:eastAsia="宋体"/>
                <w:color w:val="auto"/>
                <w:highlight w:val="none"/>
              </w:rPr>
            </w:pPr>
          </w:p>
        </w:tc>
        <w:tc>
          <w:tcPr>
            <w:tcW w:w="1386" w:type="dxa"/>
            <w:noWrap w:val="0"/>
            <w:vAlign w:val="center"/>
          </w:tcPr>
          <w:p>
            <w:pPr>
              <w:pStyle w:val="22"/>
              <w:spacing w:before="3" w:line="250" w:lineRule="exact"/>
              <w:ind w:left="107"/>
              <w:jc w:val="center"/>
              <w:rPr>
                <w:rFonts w:eastAsia="宋体"/>
                <w:color w:val="auto"/>
                <w:highlight w:val="none"/>
              </w:rPr>
            </w:pPr>
            <w:r>
              <w:rPr>
                <w:rFonts w:hint="eastAsia" w:eastAsia="宋体"/>
                <w:color w:val="auto"/>
                <w:highlight w:val="none"/>
              </w:rPr>
              <w:t>招标单变更</w:t>
            </w:r>
          </w:p>
        </w:tc>
        <w:tc>
          <w:tcPr>
            <w:tcW w:w="3500" w:type="dxa"/>
            <w:noWrap w:val="0"/>
            <w:vAlign w:val="top"/>
          </w:tcPr>
          <w:p>
            <w:pPr>
              <w:pStyle w:val="22"/>
              <w:spacing w:before="3" w:line="250" w:lineRule="exact"/>
              <w:ind w:left="107"/>
              <w:rPr>
                <w:rFonts w:eastAsia="宋体"/>
                <w:color w:val="auto"/>
                <w:highlight w:val="none"/>
              </w:rPr>
            </w:pPr>
            <w:r>
              <w:rPr>
                <w:rFonts w:hint="eastAsia" w:eastAsia="宋体"/>
                <w:color w:val="auto"/>
                <w:highlight w:val="none"/>
              </w:rPr>
              <w:t>变更明细报名截止时间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56" w:type="dxa"/>
            <w:vMerge w:val="continue"/>
            <w:noWrap w:val="0"/>
            <w:vAlign w:val="top"/>
          </w:tcPr>
          <w:p>
            <w:pPr>
              <w:pStyle w:val="22"/>
              <w:spacing w:before="143"/>
              <w:ind w:left="109"/>
              <w:rPr>
                <w:rFonts w:eastAsia="宋体"/>
                <w:color w:val="auto"/>
                <w:highlight w:val="none"/>
              </w:rPr>
            </w:pPr>
          </w:p>
        </w:tc>
        <w:tc>
          <w:tcPr>
            <w:tcW w:w="1419" w:type="dxa"/>
            <w:vMerge w:val="continue"/>
            <w:noWrap w:val="0"/>
            <w:vAlign w:val="top"/>
          </w:tcPr>
          <w:p>
            <w:pPr>
              <w:pStyle w:val="22"/>
              <w:spacing w:before="143"/>
              <w:ind w:left="109"/>
              <w:rPr>
                <w:rFonts w:eastAsia="宋体"/>
                <w:color w:val="auto"/>
                <w:highlight w:val="none"/>
              </w:rPr>
            </w:pPr>
          </w:p>
        </w:tc>
        <w:tc>
          <w:tcPr>
            <w:tcW w:w="1170" w:type="dxa"/>
            <w:noWrap w:val="0"/>
            <w:vAlign w:val="center"/>
          </w:tcPr>
          <w:p>
            <w:pPr>
              <w:pStyle w:val="22"/>
              <w:spacing w:before="3" w:line="250" w:lineRule="exact"/>
              <w:ind w:left="107"/>
              <w:jc w:val="center"/>
              <w:rPr>
                <w:rFonts w:eastAsia="宋体"/>
                <w:color w:val="auto"/>
                <w:highlight w:val="none"/>
              </w:rPr>
            </w:pPr>
            <w:r>
              <w:rPr>
                <w:rFonts w:hint="eastAsia" w:eastAsia="宋体"/>
                <w:color w:val="auto"/>
                <w:highlight w:val="none"/>
              </w:rPr>
              <w:t>开标</w:t>
            </w:r>
          </w:p>
        </w:tc>
        <w:tc>
          <w:tcPr>
            <w:tcW w:w="1386" w:type="dxa"/>
            <w:noWrap w:val="0"/>
            <w:vAlign w:val="center"/>
          </w:tcPr>
          <w:p>
            <w:pPr>
              <w:pStyle w:val="22"/>
              <w:spacing w:before="3" w:line="250" w:lineRule="exact"/>
              <w:ind w:left="107"/>
              <w:jc w:val="center"/>
              <w:rPr>
                <w:rFonts w:eastAsia="宋体"/>
                <w:color w:val="auto"/>
                <w:highlight w:val="none"/>
              </w:rPr>
            </w:pPr>
            <w:r>
              <w:rPr>
                <w:rFonts w:hint="eastAsia" w:eastAsia="宋体"/>
                <w:color w:val="auto"/>
                <w:highlight w:val="none"/>
              </w:rPr>
              <w:t>开启</w:t>
            </w:r>
          </w:p>
        </w:tc>
        <w:tc>
          <w:tcPr>
            <w:tcW w:w="3500" w:type="dxa"/>
            <w:noWrap w:val="0"/>
            <w:vAlign w:val="top"/>
          </w:tcPr>
          <w:p>
            <w:pPr>
              <w:pStyle w:val="22"/>
              <w:spacing w:before="3" w:line="250" w:lineRule="exact"/>
              <w:ind w:left="107"/>
              <w:rPr>
                <w:rFonts w:eastAsia="宋体"/>
                <w:color w:val="auto"/>
                <w:highlight w:val="none"/>
              </w:rPr>
            </w:pPr>
            <w:r>
              <w:rPr>
                <w:rFonts w:hint="eastAsia" w:eastAsia="宋体"/>
                <w:color w:val="auto"/>
                <w:highlight w:val="none"/>
              </w:rPr>
              <w:t>开标人点击开标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56" w:type="dxa"/>
            <w:vMerge w:val="continue"/>
            <w:noWrap w:val="0"/>
            <w:vAlign w:val="top"/>
          </w:tcPr>
          <w:p>
            <w:pPr>
              <w:pStyle w:val="22"/>
              <w:spacing w:before="143"/>
              <w:ind w:left="109"/>
              <w:rPr>
                <w:rFonts w:eastAsia="宋体"/>
                <w:color w:val="auto"/>
                <w:highlight w:val="none"/>
              </w:rPr>
            </w:pPr>
          </w:p>
        </w:tc>
        <w:tc>
          <w:tcPr>
            <w:tcW w:w="1419" w:type="dxa"/>
            <w:vMerge w:val="continue"/>
            <w:noWrap w:val="0"/>
            <w:vAlign w:val="top"/>
          </w:tcPr>
          <w:p>
            <w:pPr>
              <w:pStyle w:val="22"/>
              <w:spacing w:before="143"/>
              <w:ind w:left="109"/>
              <w:rPr>
                <w:rFonts w:eastAsia="宋体"/>
                <w:color w:val="auto"/>
                <w:highlight w:val="none"/>
              </w:rPr>
            </w:pPr>
          </w:p>
        </w:tc>
        <w:tc>
          <w:tcPr>
            <w:tcW w:w="1170" w:type="dxa"/>
            <w:vMerge w:val="restart"/>
            <w:noWrap w:val="0"/>
            <w:vAlign w:val="center"/>
          </w:tcPr>
          <w:p>
            <w:pPr>
              <w:pStyle w:val="22"/>
              <w:spacing w:before="3" w:line="250" w:lineRule="exact"/>
              <w:ind w:left="107"/>
              <w:jc w:val="center"/>
              <w:rPr>
                <w:rFonts w:eastAsia="宋体"/>
                <w:color w:val="auto"/>
                <w:highlight w:val="none"/>
              </w:rPr>
            </w:pPr>
            <w:r>
              <w:rPr>
                <w:rFonts w:hint="eastAsia" w:eastAsia="宋体"/>
                <w:color w:val="auto"/>
                <w:highlight w:val="none"/>
              </w:rPr>
              <w:t>评标</w:t>
            </w:r>
          </w:p>
        </w:tc>
        <w:tc>
          <w:tcPr>
            <w:tcW w:w="1386" w:type="dxa"/>
            <w:noWrap w:val="0"/>
            <w:vAlign w:val="center"/>
          </w:tcPr>
          <w:p>
            <w:pPr>
              <w:pStyle w:val="22"/>
              <w:spacing w:before="3" w:line="250" w:lineRule="exact"/>
              <w:ind w:left="107"/>
              <w:jc w:val="center"/>
              <w:rPr>
                <w:rFonts w:eastAsia="宋体"/>
                <w:color w:val="auto"/>
                <w:highlight w:val="none"/>
              </w:rPr>
            </w:pPr>
            <w:r>
              <w:rPr>
                <w:rFonts w:hint="eastAsia" w:eastAsia="宋体"/>
                <w:color w:val="auto"/>
                <w:highlight w:val="none"/>
              </w:rPr>
              <w:t>评标录入</w:t>
            </w:r>
          </w:p>
        </w:tc>
        <w:tc>
          <w:tcPr>
            <w:tcW w:w="3500" w:type="dxa"/>
            <w:noWrap w:val="0"/>
            <w:vAlign w:val="top"/>
          </w:tcPr>
          <w:p>
            <w:pPr>
              <w:pStyle w:val="22"/>
              <w:spacing w:before="3" w:line="250" w:lineRule="exact"/>
              <w:ind w:left="107"/>
              <w:rPr>
                <w:rFonts w:eastAsia="宋体"/>
                <w:color w:val="auto"/>
                <w:highlight w:val="none"/>
              </w:rPr>
            </w:pPr>
            <w:r>
              <w:rPr>
                <w:rFonts w:hint="eastAsia" w:eastAsia="宋体"/>
                <w:color w:val="auto"/>
                <w:highlight w:val="none"/>
              </w:rPr>
              <w:t>评标专家评分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956" w:type="dxa"/>
            <w:vMerge w:val="continue"/>
            <w:noWrap w:val="0"/>
            <w:vAlign w:val="top"/>
          </w:tcPr>
          <w:p>
            <w:pPr>
              <w:pStyle w:val="22"/>
              <w:spacing w:before="3" w:line="250" w:lineRule="exact"/>
              <w:ind w:left="107"/>
              <w:rPr>
                <w:rFonts w:eastAsia="宋体"/>
                <w:color w:val="auto"/>
                <w:highlight w:val="none"/>
              </w:rPr>
            </w:pPr>
          </w:p>
        </w:tc>
        <w:tc>
          <w:tcPr>
            <w:tcW w:w="1419" w:type="dxa"/>
            <w:vMerge w:val="continue"/>
            <w:noWrap w:val="0"/>
            <w:vAlign w:val="top"/>
          </w:tcPr>
          <w:p>
            <w:pPr>
              <w:pStyle w:val="22"/>
              <w:spacing w:before="3" w:line="250" w:lineRule="exact"/>
              <w:ind w:left="107"/>
              <w:rPr>
                <w:rFonts w:eastAsia="宋体"/>
                <w:color w:val="auto"/>
                <w:highlight w:val="none"/>
              </w:rPr>
            </w:pPr>
          </w:p>
        </w:tc>
        <w:tc>
          <w:tcPr>
            <w:tcW w:w="1170" w:type="dxa"/>
            <w:vMerge w:val="continue"/>
            <w:noWrap w:val="0"/>
            <w:vAlign w:val="center"/>
          </w:tcPr>
          <w:p>
            <w:pPr>
              <w:pStyle w:val="22"/>
              <w:spacing w:before="3" w:line="250" w:lineRule="exact"/>
              <w:ind w:left="107"/>
              <w:jc w:val="center"/>
              <w:rPr>
                <w:rFonts w:eastAsia="宋体"/>
                <w:color w:val="auto"/>
                <w:highlight w:val="none"/>
              </w:rPr>
            </w:pPr>
          </w:p>
        </w:tc>
        <w:tc>
          <w:tcPr>
            <w:tcW w:w="1386" w:type="dxa"/>
            <w:noWrap w:val="0"/>
            <w:vAlign w:val="center"/>
          </w:tcPr>
          <w:p>
            <w:pPr>
              <w:pStyle w:val="22"/>
              <w:spacing w:before="3" w:line="250" w:lineRule="exact"/>
              <w:ind w:left="107"/>
              <w:jc w:val="center"/>
              <w:rPr>
                <w:rFonts w:eastAsia="宋体"/>
                <w:color w:val="auto"/>
                <w:highlight w:val="none"/>
              </w:rPr>
            </w:pPr>
            <w:r>
              <w:rPr>
                <w:rFonts w:hint="eastAsia" w:eastAsia="宋体"/>
                <w:color w:val="auto"/>
                <w:highlight w:val="none"/>
              </w:rPr>
              <w:t>评标结果一览</w:t>
            </w:r>
          </w:p>
        </w:tc>
        <w:tc>
          <w:tcPr>
            <w:tcW w:w="3500" w:type="dxa"/>
            <w:noWrap w:val="0"/>
            <w:vAlign w:val="top"/>
          </w:tcPr>
          <w:p>
            <w:pPr>
              <w:pStyle w:val="22"/>
              <w:spacing w:before="3" w:line="250" w:lineRule="exact"/>
              <w:ind w:left="107"/>
              <w:rPr>
                <w:rFonts w:eastAsia="宋体"/>
                <w:color w:val="auto"/>
                <w:highlight w:val="none"/>
              </w:rPr>
            </w:pPr>
            <w:r>
              <w:rPr>
                <w:rFonts w:hint="eastAsia" w:eastAsia="宋体"/>
                <w:color w:val="auto"/>
                <w:highlight w:val="none"/>
              </w:rPr>
              <w:t>招标负责人可以查看所有评分结果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956" w:type="dxa"/>
            <w:vMerge w:val="continue"/>
            <w:noWrap w:val="0"/>
            <w:vAlign w:val="top"/>
          </w:tcPr>
          <w:p>
            <w:pPr>
              <w:pStyle w:val="22"/>
              <w:spacing w:before="3" w:line="250" w:lineRule="exact"/>
              <w:ind w:left="107"/>
              <w:rPr>
                <w:rFonts w:eastAsia="宋体"/>
                <w:color w:val="auto"/>
                <w:highlight w:val="none"/>
              </w:rPr>
            </w:pPr>
          </w:p>
        </w:tc>
        <w:tc>
          <w:tcPr>
            <w:tcW w:w="1419" w:type="dxa"/>
            <w:vMerge w:val="continue"/>
            <w:noWrap w:val="0"/>
            <w:vAlign w:val="top"/>
          </w:tcPr>
          <w:p>
            <w:pPr>
              <w:pStyle w:val="22"/>
              <w:spacing w:before="3" w:line="250" w:lineRule="exact"/>
              <w:ind w:left="107"/>
              <w:rPr>
                <w:rFonts w:eastAsia="宋体"/>
                <w:color w:val="auto"/>
                <w:highlight w:val="none"/>
              </w:rPr>
            </w:pPr>
          </w:p>
        </w:tc>
        <w:tc>
          <w:tcPr>
            <w:tcW w:w="1170" w:type="dxa"/>
            <w:noWrap w:val="0"/>
            <w:vAlign w:val="center"/>
          </w:tcPr>
          <w:p>
            <w:pPr>
              <w:pStyle w:val="22"/>
              <w:spacing w:before="143"/>
              <w:ind w:left="109"/>
              <w:jc w:val="center"/>
              <w:rPr>
                <w:rFonts w:eastAsia="宋体"/>
                <w:color w:val="auto"/>
                <w:highlight w:val="none"/>
              </w:rPr>
            </w:pPr>
            <w:r>
              <w:rPr>
                <w:rFonts w:hint="eastAsia" w:eastAsia="宋体"/>
                <w:color w:val="auto"/>
                <w:highlight w:val="none"/>
              </w:rPr>
              <w:t>中标结果公示及数据推送</w:t>
            </w:r>
          </w:p>
        </w:tc>
        <w:tc>
          <w:tcPr>
            <w:tcW w:w="1386" w:type="dxa"/>
            <w:noWrap w:val="0"/>
            <w:vAlign w:val="center"/>
          </w:tcPr>
          <w:p>
            <w:pPr>
              <w:pStyle w:val="22"/>
              <w:spacing w:before="3" w:line="250" w:lineRule="exact"/>
              <w:ind w:left="108"/>
              <w:jc w:val="center"/>
              <w:rPr>
                <w:rFonts w:eastAsia="宋体"/>
                <w:color w:val="auto"/>
                <w:highlight w:val="none"/>
              </w:rPr>
            </w:pPr>
            <w:r>
              <w:rPr>
                <w:rFonts w:hint="eastAsia" w:eastAsia="宋体"/>
                <w:color w:val="auto"/>
                <w:highlight w:val="none"/>
              </w:rPr>
              <w:t>中标公告</w:t>
            </w:r>
          </w:p>
        </w:tc>
        <w:tc>
          <w:tcPr>
            <w:tcW w:w="3500" w:type="dxa"/>
            <w:noWrap w:val="0"/>
            <w:vAlign w:val="top"/>
          </w:tcPr>
          <w:p>
            <w:pPr>
              <w:pStyle w:val="22"/>
              <w:spacing w:before="1" w:line="250" w:lineRule="exact"/>
              <w:ind w:left="107"/>
              <w:rPr>
                <w:rFonts w:hint="eastAsia" w:eastAsia="宋体"/>
                <w:color w:val="auto"/>
                <w:highlight w:val="none"/>
              </w:rPr>
            </w:pPr>
            <w:r>
              <w:rPr>
                <w:rFonts w:hint="eastAsia" w:eastAsia="宋体"/>
                <w:color w:val="auto"/>
                <w:highlight w:val="none"/>
                <w:lang w:val="en-US"/>
              </w:rPr>
              <w:t>将评标结果推送到OA系统中，并将</w:t>
            </w:r>
            <w:r>
              <w:rPr>
                <w:rFonts w:hint="eastAsia" w:eastAsia="宋体"/>
                <w:color w:val="auto"/>
                <w:highlight w:val="none"/>
              </w:rPr>
              <w:t>中标公告发布到网站或推送中标单位后台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56" w:type="dxa"/>
            <w:vMerge w:val="restart"/>
            <w:noWrap w:val="0"/>
            <w:vAlign w:val="top"/>
          </w:tcPr>
          <w:p>
            <w:pPr>
              <w:pStyle w:val="22"/>
              <w:rPr>
                <w:rFonts w:eastAsia="宋体"/>
                <w:color w:val="auto"/>
                <w:sz w:val="20"/>
                <w:highlight w:val="none"/>
              </w:rPr>
            </w:pPr>
          </w:p>
          <w:p>
            <w:pPr>
              <w:pStyle w:val="22"/>
              <w:spacing w:before="160"/>
              <w:ind w:left="163"/>
              <w:rPr>
                <w:rFonts w:eastAsia="宋体"/>
                <w:color w:val="auto"/>
                <w:highlight w:val="none"/>
              </w:rPr>
            </w:pPr>
            <w:r>
              <w:rPr>
                <w:rFonts w:eastAsia="宋体"/>
                <w:color w:val="auto"/>
                <w:highlight w:val="none"/>
              </w:rPr>
              <w:t xml:space="preserve">供应商 </w:t>
            </w:r>
          </w:p>
        </w:tc>
        <w:tc>
          <w:tcPr>
            <w:tcW w:w="1419" w:type="dxa"/>
            <w:vMerge w:val="restart"/>
            <w:noWrap w:val="0"/>
            <w:vAlign w:val="top"/>
          </w:tcPr>
          <w:p>
            <w:pPr>
              <w:pStyle w:val="22"/>
              <w:spacing w:before="3"/>
              <w:rPr>
                <w:rFonts w:eastAsia="宋体"/>
                <w:color w:val="auto"/>
                <w:sz w:val="24"/>
                <w:highlight w:val="none"/>
              </w:rPr>
            </w:pPr>
          </w:p>
          <w:p>
            <w:pPr>
              <w:pStyle w:val="22"/>
              <w:ind w:left="109"/>
              <w:rPr>
                <w:rFonts w:eastAsia="宋体"/>
                <w:color w:val="auto"/>
                <w:highlight w:val="none"/>
              </w:rPr>
            </w:pPr>
            <w:r>
              <w:rPr>
                <w:rFonts w:eastAsia="宋体"/>
                <w:color w:val="auto"/>
                <w:highlight w:val="none"/>
              </w:rPr>
              <w:t xml:space="preserve">注册及更新 </w:t>
            </w:r>
          </w:p>
        </w:tc>
        <w:tc>
          <w:tcPr>
            <w:tcW w:w="1170" w:type="dxa"/>
            <w:noWrap w:val="0"/>
            <w:vAlign w:val="center"/>
          </w:tcPr>
          <w:p>
            <w:pPr>
              <w:pStyle w:val="22"/>
              <w:spacing w:before="137"/>
              <w:ind w:left="109"/>
              <w:jc w:val="center"/>
              <w:rPr>
                <w:rFonts w:eastAsia="宋体"/>
                <w:color w:val="auto"/>
                <w:highlight w:val="none"/>
              </w:rPr>
            </w:pPr>
            <w:r>
              <w:rPr>
                <w:rFonts w:eastAsia="宋体"/>
                <w:color w:val="auto"/>
                <w:highlight w:val="none"/>
              </w:rPr>
              <w:t>供应商注册</w:t>
            </w:r>
          </w:p>
        </w:tc>
        <w:tc>
          <w:tcPr>
            <w:tcW w:w="1386" w:type="dxa"/>
            <w:noWrap w:val="0"/>
            <w:vAlign w:val="center"/>
          </w:tcPr>
          <w:p>
            <w:pPr>
              <w:pStyle w:val="22"/>
              <w:spacing w:before="137"/>
              <w:ind w:left="108"/>
              <w:jc w:val="center"/>
              <w:rPr>
                <w:rFonts w:eastAsia="宋体"/>
                <w:color w:val="auto"/>
                <w:highlight w:val="none"/>
              </w:rPr>
            </w:pPr>
            <w:r>
              <w:rPr>
                <w:rFonts w:eastAsia="宋体"/>
                <w:color w:val="auto"/>
                <w:highlight w:val="none"/>
              </w:rPr>
              <w:t>供应商注册</w:t>
            </w:r>
          </w:p>
        </w:tc>
        <w:tc>
          <w:tcPr>
            <w:tcW w:w="3500" w:type="dxa"/>
            <w:noWrap w:val="0"/>
            <w:vAlign w:val="top"/>
          </w:tcPr>
          <w:p>
            <w:pPr>
              <w:pStyle w:val="22"/>
              <w:spacing w:before="4" w:line="250" w:lineRule="exact"/>
              <w:ind w:left="107"/>
              <w:rPr>
                <w:rFonts w:eastAsia="宋体"/>
                <w:color w:val="auto"/>
                <w:highlight w:val="none"/>
              </w:rPr>
            </w:pPr>
            <w:r>
              <w:rPr>
                <w:rFonts w:eastAsia="宋体"/>
                <w:color w:val="auto"/>
                <w:highlight w:val="none"/>
              </w:rPr>
              <w:t>供应商注册到集采平台，</w:t>
            </w:r>
            <w:r>
              <w:rPr>
                <w:rFonts w:hint="eastAsia" w:eastAsia="宋体"/>
                <w:color w:val="auto"/>
                <w:highlight w:val="none"/>
              </w:rPr>
              <w:t>选择对应的供应商类别，提交对应所需资质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6" w:type="dxa"/>
            <w:vMerge w:val="continue"/>
            <w:noWrap w:val="0"/>
            <w:vAlign w:val="top"/>
          </w:tcPr>
          <w:p>
            <w:pPr>
              <w:rPr>
                <w:rFonts w:ascii="宋体" w:hAnsi="宋体" w:eastAsia="宋体"/>
                <w:color w:val="auto"/>
                <w:sz w:val="2"/>
                <w:szCs w:val="2"/>
                <w:highlight w:val="none"/>
              </w:rPr>
            </w:pPr>
          </w:p>
        </w:tc>
        <w:tc>
          <w:tcPr>
            <w:tcW w:w="1419" w:type="dxa"/>
            <w:vMerge w:val="continue"/>
            <w:tcBorders>
              <w:top w:val="nil"/>
            </w:tcBorders>
            <w:noWrap w:val="0"/>
            <w:vAlign w:val="top"/>
          </w:tcPr>
          <w:p>
            <w:pPr>
              <w:rPr>
                <w:rFonts w:ascii="宋体" w:hAnsi="宋体" w:eastAsia="宋体"/>
                <w:color w:val="auto"/>
                <w:sz w:val="2"/>
                <w:szCs w:val="2"/>
                <w:highlight w:val="none"/>
              </w:rPr>
            </w:pPr>
          </w:p>
        </w:tc>
        <w:tc>
          <w:tcPr>
            <w:tcW w:w="1170" w:type="dxa"/>
            <w:noWrap w:val="0"/>
            <w:vAlign w:val="center"/>
          </w:tcPr>
          <w:p>
            <w:pPr>
              <w:pStyle w:val="22"/>
              <w:spacing w:before="1" w:line="252" w:lineRule="exact"/>
              <w:ind w:left="109"/>
              <w:jc w:val="center"/>
              <w:rPr>
                <w:rFonts w:eastAsia="宋体"/>
                <w:color w:val="auto"/>
                <w:highlight w:val="none"/>
              </w:rPr>
            </w:pPr>
            <w:r>
              <w:rPr>
                <w:rFonts w:eastAsia="宋体"/>
                <w:color w:val="auto"/>
                <w:highlight w:val="none"/>
              </w:rPr>
              <w:t>资料更新</w:t>
            </w:r>
          </w:p>
        </w:tc>
        <w:tc>
          <w:tcPr>
            <w:tcW w:w="1386" w:type="dxa"/>
            <w:noWrap w:val="0"/>
            <w:vAlign w:val="center"/>
          </w:tcPr>
          <w:p>
            <w:pPr>
              <w:pStyle w:val="22"/>
              <w:spacing w:before="1" w:line="252" w:lineRule="exact"/>
              <w:ind w:left="108"/>
              <w:jc w:val="center"/>
              <w:rPr>
                <w:rFonts w:eastAsia="宋体"/>
                <w:color w:val="auto"/>
                <w:highlight w:val="none"/>
              </w:rPr>
            </w:pPr>
            <w:r>
              <w:rPr>
                <w:rFonts w:eastAsia="宋体"/>
                <w:color w:val="auto"/>
                <w:highlight w:val="none"/>
              </w:rPr>
              <w:t>资料更新</w:t>
            </w:r>
          </w:p>
        </w:tc>
        <w:tc>
          <w:tcPr>
            <w:tcW w:w="3500" w:type="dxa"/>
            <w:noWrap w:val="0"/>
            <w:vAlign w:val="top"/>
          </w:tcPr>
          <w:p>
            <w:pPr>
              <w:pStyle w:val="22"/>
              <w:spacing w:before="1" w:line="252" w:lineRule="exact"/>
              <w:ind w:left="107"/>
              <w:rPr>
                <w:rFonts w:eastAsia="宋体"/>
                <w:color w:val="auto"/>
                <w:highlight w:val="none"/>
              </w:rPr>
            </w:pPr>
            <w:r>
              <w:rPr>
                <w:rFonts w:eastAsia="宋体"/>
                <w:color w:val="auto"/>
                <w:highlight w:val="none"/>
              </w:rPr>
              <w:t>需及时更新信息的变更清空</w:t>
            </w:r>
            <w:r>
              <w:rPr>
                <w:rFonts w:hint="eastAsia" w:eastAsia="宋体"/>
                <w:color w:val="auto"/>
                <w:highlight w:val="none"/>
              </w:rPr>
              <w:t>，账号密码修改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956" w:type="dxa"/>
            <w:vMerge w:val="continue"/>
            <w:noWrap w:val="0"/>
            <w:vAlign w:val="top"/>
          </w:tcPr>
          <w:p>
            <w:pPr>
              <w:rPr>
                <w:rFonts w:ascii="宋体" w:hAnsi="宋体" w:eastAsia="宋体"/>
                <w:color w:val="auto"/>
                <w:sz w:val="2"/>
                <w:szCs w:val="2"/>
                <w:highlight w:val="none"/>
              </w:rPr>
            </w:pPr>
          </w:p>
        </w:tc>
        <w:tc>
          <w:tcPr>
            <w:tcW w:w="1419" w:type="dxa"/>
            <w:vMerge w:val="restart"/>
            <w:noWrap w:val="0"/>
            <w:vAlign w:val="top"/>
          </w:tcPr>
          <w:p>
            <w:pPr>
              <w:pStyle w:val="22"/>
              <w:spacing w:before="4"/>
              <w:rPr>
                <w:rFonts w:eastAsia="宋体"/>
                <w:color w:val="auto"/>
                <w:sz w:val="24"/>
                <w:highlight w:val="none"/>
              </w:rPr>
            </w:pPr>
          </w:p>
          <w:p>
            <w:pPr>
              <w:pStyle w:val="22"/>
              <w:ind w:left="109"/>
              <w:rPr>
                <w:rFonts w:eastAsia="宋体"/>
                <w:color w:val="auto"/>
                <w:highlight w:val="none"/>
              </w:rPr>
            </w:pPr>
            <w:r>
              <w:rPr>
                <w:rFonts w:eastAsia="宋体"/>
                <w:color w:val="auto"/>
                <w:highlight w:val="none"/>
              </w:rPr>
              <w:t xml:space="preserve">报价 </w:t>
            </w:r>
          </w:p>
        </w:tc>
        <w:tc>
          <w:tcPr>
            <w:tcW w:w="1170" w:type="dxa"/>
            <w:noWrap w:val="0"/>
            <w:vAlign w:val="center"/>
          </w:tcPr>
          <w:p>
            <w:pPr>
              <w:pStyle w:val="22"/>
              <w:spacing w:before="1" w:line="250" w:lineRule="exact"/>
              <w:ind w:left="109"/>
              <w:jc w:val="center"/>
              <w:rPr>
                <w:rFonts w:eastAsia="宋体"/>
                <w:color w:val="auto"/>
                <w:highlight w:val="none"/>
              </w:rPr>
            </w:pPr>
            <w:r>
              <w:rPr>
                <w:rFonts w:hint="eastAsia" w:eastAsia="宋体"/>
                <w:color w:val="auto"/>
                <w:highlight w:val="none"/>
              </w:rPr>
              <w:t>询价</w:t>
            </w:r>
            <w:r>
              <w:rPr>
                <w:rFonts w:eastAsia="宋体"/>
                <w:color w:val="auto"/>
                <w:highlight w:val="none"/>
              </w:rPr>
              <w:t>报价</w:t>
            </w:r>
          </w:p>
        </w:tc>
        <w:tc>
          <w:tcPr>
            <w:tcW w:w="1386" w:type="dxa"/>
            <w:noWrap w:val="0"/>
            <w:vAlign w:val="center"/>
          </w:tcPr>
          <w:p>
            <w:pPr>
              <w:pStyle w:val="22"/>
              <w:spacing w:before="1" w:line="250" w:lineRule="exact"/>
              <w:ind w:left="108"/>
              <w:jc w:val="center"/>
              <w:rPr>
                <w:rFonts w:eastAsia="宋体"/>
                <w:color w:val="auto"/>
                <w:highlight w:val="none"/>
              </w:rPr>
            </w:pPr>
            <w:r>
              <w:rPr>
                <w:rFonts w:eastAsia="宋体"/>
                <w:color w:val="auto"/>
                <w:highlight w:val="none"/>
              </w:rPr>
              <w:t>日常</w:t>
            </w:r>
            <w:r>
              <w:rPr>
                <w:rFonts w:hint="eastAsia" w:eastAsia="宋体"/>
                <w:color w:val="auto"/>
                <w:highlight w:val="none"/>
              </w:rPr>
              <w:t>询价</w:t>
            </w:r>
          </w:p>
        </w:tc>
        <w:tc>
          <w:tcPr>
            <w:tcW w:w="3500" w:type="dxa"/>
            <w:noWrap w:val="0"/>
            <w:vAlign w:val="top"/>
          </w:tcPr>
          <w:p>
            <w:pPr>
              <w:pStyle w:val="22"/>
              <w:spacing w:before="1" w:line="250" w:lineRule="exact"/>
              <w:ind w:left="107"/>
              <w:rPr>
                <w:rFonts w:eastAsia="宋体"/>
                <w:color w:val="auto"/>
                <w:highlight w:val="none"/>
              </w:rPr>
            </w:pPr>
            <w:r>
              <w:rPr>
                <w:rFonts w:eastAsia="宋体"/>
                <w:color w:val="auto"/>
                <w:highlight w:val="none"/>
              </w:rPr>
              <w:t>可日常询价进行报价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56" w:type="dxa"/>
            <w:vMerge w:val="continue"/>
            <w:noWrap w:val="0"/>
            <w:vAlign w:val="top"/>
          </w:tcPr>
          <w:p>
            <w:pPr>
              <w:rPr>
                <w:rFonts w:ascii="宋体" w:hAnsi="宋体" w:eastAsia="宋体"/>
                <w:color w:val="auto"/>
                <w:sz w:val="2"/>
                <w:szCs w:val="2"/>
                <w:highlight w:val="none"/>
              </w:rPr>
            </w:pPr>
          </w:p>
        </w:tc>
        <w:tc>
          <w:tcPr>
            <w:tcW w:w="1419" w:type="dxa"/>
            <w:vMerge w:val="continue"/>
            <w:tcBorders>
              <w:top w:val="nil"/>
            </w:tcBorders>
            <w:noWrap w:val="0"/>
            <w:vAlign w:val="top"/>
          </w:tcPr>
          <w:p>
            <w:pPr>
              <w:rPr>
                <w:rFonts w:ascii="宋体" w:hAnsi="宋体" w:eastAsia="宋体"/>
                <w:color w:val="auto"/>
                <w:sz w:val="2"/>
                <w:szCs w:val="2"/>
                <w:highlight w:val="none"/>
              </w:rPr>
            </w:pPr>
          </w:p>
        </w:tc>
        <w:tc>
          <w:tcPr>
            <w:tcW w:w="1170" w:type="dxa"/>
            <w:noWrap w:val="0"/>
            <w:vAlign w:val="center"/>
          </w:tcPr>
          <w:p>
            <w:pPr>
              <w:pStyle w:val="22"/>
              <w:spacing w:before="138"/>
              <w:ind w:left="109"/>
              <w:jc w:val="center"/>
              <w:rPr>
                <w:rFonts w:eastAsia="宋体"/>
                <w:color w:val="auto"/>
                <w:highlight w:val="none"/>
              </w:rPr>
            </w:pPr>
            <w:r>
              <w:rPr>
                <w:rFonts w:eastAsia="宋体"/>
                <w:color w:val="auto"/>
                <w:highlight w:val="none"/>
              </w:rPr>
              <w:t>投标报价</w:t>
            </w:r>
          </w:p>
        </w:tc>
        <w:tc>
          <w:tcPr>
            <w:tcW w:w="1386" w:type="dxa"/>
            <w:noWrap w:val="0"/>
            <w:vAlign w:val="center"/>
          </w:tcPr>
          <w:p>
            <w:pPr>
              <w:pStyle w:val="22"/>
              <w:spacing w:before="138"/>
              <w:ind w:left="108"/>
              <w:jc w:val="center"/>
              <w:rPr>
                <w:rFonts w:eastAsia="宋体"/>
                <w:color w:val="auto"/>
                <w:highlight w:val="none"/>
              </w:rPr>
            </w:pPr>
            <w:r>
              <w:rPr>
                <w:rFonts w:eastAsia="宋体"/>
                <w:color w:val="auto"/>
                <w:highlight w:val="none"/>
              </w:rPr>
              <w:t>投标报价单</w:t>
            </w:r>
          </w:p>
        </w:tc>
        <w:tc>
          <w:tcPr>
            <w:tcW w:w="3500" w:type="dxa"/>
            <w:noWrap w:val="0"/>
            <w:vAlign w:val="top"/>
          </w:tcPr>
          <w:p>
            <w:pPr>
              <w:pStyle w:val="22"/>
              <w:spacing w:before="2" w:line="270" w:lineRule="atLeast"/>
              <w:ind w:left="107" w:right="47"/>
              <w:rPr>
                <w:rFonts w:eastAsia="宋体"/>
                <w:color w:val="auto"/>
                <w:highlight w:val="none"/>
              </w:rPr>
            </w:pPr>
            <w:r>
              <w:rPr>
                <w:rFonts w:eastAsia="宋体"/>
                <w:color w:val="auto"/>
                <w:highlight w:val="none"/>
              </w:rPr>
              <w:t xml:space="preserve">如有可投标项目，可在平台中应标报价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956" w:type="dxa"/>
            <w:vMerge w:val="continue"/>
            <w:noWrap w:val="0"/>
            <w:vAlign w:val="top"/>
          </w:tcPr>
          <w:p>
            <w:pPr>
              <w:pStyle w:val="22"/>
              <w:ind w:left="109"/>
              <w:rPr>
                <w:rFonts w:eastAsia="宋体"/>
                <w:color w:val="auto"/>
                <w:highlight w:val="none"/>
              </w:rPr>
            </w:pPr>
          </w:p>
        </w:tc>
        <w:tc>
          <w:tcPr>
            <w:tcW w:w="1419" w:type="dxa"/>
            <w:vMerge w:val="restart"/>
            <w:tcBorders>
              <w:top w:val="nil"/>
            </w:tcBorders>
            <w:noWrap w:val="0"/>
            <w:vAlign w:val="top"/>
          </w:tcPr>
          <w:p>
            <w:pPr>
              <w:pStyle w:val="22"/>
              <w:ind w:left="109"/>
              <w:rPr>
                <w:rFonts w:eastAsia="宋体"/>
                <w:color w:val="auto"/>
                <w:highlight w:val="none"/>
              </w:rPr>
            </w:pPr>
            <w:r>
              <w:rPr>
                <w:rFonts w:hint="eastAsia" w:eastAsia="宋体"/>
                <w:color w:val="auto"/>
                <w:highlight w:val="none"/>
              </w:rPr>
              <w:t>小程序</w:t>
            </w:r>
          </w:p>
        </w:tc>
        <w:tc>
          <w:tcPr>
            <w:tcW w:w="1170" w:type="dxa"/>
            <w:vMerge w:val="restart"/>
            <w:noWrap w:val="0"/>
            <w:vAlign w:val="center"/>
          </w:tcPr>
          <w:p>
            <w:pPr>
              <w:pStyle w:val="22"/>
              <w:ind w:left="109"/>
              <w:jc w:val="center"/>
              <w:rPr>
                <w:rFonts w:hint="eastAsia" w:eastAsia="宋体"/>
                <w:color w:val="auto"/>
                <w:highlight w:val="none"/>
              </w:rPr>
            </w:pPr>
            <w:r>
              <w:rPr>
                <w:rFonts w:hint="eastAsia" w:eastAsia="宋体"/>
                <w:color w:val="auto"/>
                <w:highlight w:val="none"/>
              </w:rPr>
              <w:t>微信小程序</w:t>
            </w:r>
          </w:p>
        </w:tc>
        <w:tc>
          <w:tcPr>
            <w:tcW w:w="1386" w:type="dxa"/>
            <w:noWrap w:val="0"/>
            <w:vAlign w:val="center"/>
          </w:tcPr>
          <w:p>
            <w:pPr>
              <w:pStyle w:val="22"/>
              <w:ind w:left="109"/>
              <w:jc w:val="center"/>
              <w:rPr>
                <w:rFonts w:hint="eastAsia" w:eastAsia="宋体"/>
                <w:color w:val="auto"/>
                <w:highlight w:val="none"/>
              </w:rPr>
            </w:pPr>
            <w:r>
              <w:rPr>
                <w:rFonts w:hint="eastAsia" w:eastAsia="宋体"/>
                <w:color w:val="auto"/>
                <w:highlight w:val="none"/>
              </w:rPr>
              <w:t>登录</w:t>
            </w:r>
          </w:p>
        </w:tc>
        <w:tc>
          <w:tcPr>
            <w:tcW w:w="3500" w:type="dxa"/>
            <w:noWrap w:val="0"/>
            <w:vAlign w:val="top"/>
          </w:tcPr>
          <w:p>
            <w:pPr>
              <w:pStyle w:val="22"/>
              <w:ind w:left="109"/>
              <w:rPr>
                <w:rFonts w:hint="eastAsia" w:eastAsia="宋体"/>
                <w:color w:val="auto"/>
                <w:highlight w:val="none"/>
              </w:rPr>
            </w:pPr>
            <w:r>
              <w:rPr>
                <w:rFonts w:hint="eastAsia" w:eastAsia="宋体"/>
                <w:color w:val="auto"/>
                <w:highlight w:val="none"/>
              </w:rPr>
              <w:t>供应商可以通过微信小程序登录。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956" w:type="dxa"/>
            <w:vMerge w:val="continue"/>
            <w:noWrap w:val="0"/>
            <w:vAlign w:val="top"/>
          </w:tcPr>
          <w:p>
            <w:pPr>
              <w:pStyle w:val="22"/>
              <w:ind w:left="109"/>
              <w:rPr>
                <w:rFonts w:eastAsia="宋体"/>
                <w:color w:val="auto"/>
                <w:highlight w:val="none"/>
              </w:rPr>
            </w:pPr>
          </w:p>
        </w:tc>
        <w:tc>
          <w:tcPr>
            <w:tcW w:w="1419" w:type="dxa"/>
            <w:vMerge w:val="continue"/>
            <w:noWrap w:val="0"/>
            <w:vAlign w:val="top"/>
          </w:tcPr>
          <w:p>
            <w:pPr>
              <w:pStyle w:val="22"/>
              <w:ind w:left="109"/>
              <w:rPr>
                <w:rFonts w:hint="eastAsia" w:eastAsia="宋体"/>
                <w:color w:val="auto"/>
                <w:highlight w:val="none"/>
              </w:rPr>
            </w:pPr>
          </w:p>
        </w:tc>
        <w:tc>
          <w:tcPr>
            <w:tcW w:w="1170" w:type="dxa"/>
            <w:vMerge w:val="continue"/>
            <w:noWrap w:val="0"/>
            <w:vAlign w:val="center"/>
          </w:tcPr>
          <w:p>
            <w:pPr>
              <w:pStyle w:val="22"/>
              <w:ind w:left="109"/>
              <w:jc w:val="center"/>
              <w:rPr>
                <w:rFonts w:hint="eastAsia" w:eastAsia="宋体"/>
                <w:color w:val="auto"/>
                <w:highlight w:val="none"/>
              </w:rPr>
            </w:pPr>
          </w:p>
        </w:tc>
        <w:tc>
          <w:tcPr>
            <w:tcW w:w="1386" w:type="dxa"/>
            <w:noWrap w:val="0"/>
            <w:vAlign w:val="center"/>
          </w:tcPr>
          <w:p>
            <w:pPr>
              <w:pStyle w:val="22"/>
              <w:ind w:left="109"/>
              <w:jc w:val="center"/>
              <w:rPr>
                <w:rFonts w:hint="eastAsia" w:eastAsia="宋体"/>
                <w:color w:val="auto"/>
                <w:highlight w:val="none"/>
              </w:rPr>
            </w:pPr>
            <w:r>
              <w:rPr>
                <w:rFonts w:hint="eastAsia" w:eastAsia="宋体"/>
                <w:color w:val="auto"/>
                <w:highlight w:val="none"/>
              </w:rPr>
              <w:t>报价</w:t>
            </w:r>
          </w:p>
        </w:tc>
        <w:tc>
          <w:tcPr>
            <w:tcW w:w="3500" w:type="dxa"/>
            <w:noWrap w:val="0"/>
            <w:vAlign w:val="top"/>
          </w:tcPr>
          <w:p>
            <w:pPr>
              <w:pStyle w:val="22"/>
              <w:ind w:left="109"/>
              <w:rPr>
                <w:rFonts w:hint="eastAsia" w:eastAsia="宋体"/>
                <w:color w:val="auto"/>
                <w:highlight w:val="none"/>
              </w:rPr>
            </w:pPr>
            <w:r>
              <w:rPr>
                <w:rFonts w:hint="eastAsia" w:eastAsia="宋体"/>
                <w:color w:val="auto"/>
                <w:highlight w:val="none"/>
              </w:rPr>
              <w:t>供应商登录后参与询价报价。我的报价列表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56" w:type="dxa"/>
            <w:noWrap w:val="0"/>
            <w:vAlign w:val="top"/>
          </w:tcPr>
          <w:p>
            <w:pPr>
              <w:pStyle w:val="22"/>
              <w:spacing w:before="1"/>
              <w:ind w:left="108"/>
              <w:rPr>
                <w:rFonts w:eastAsia="宋体"/>
                <w:color w:val="auto"/>
                <w:highlight w:val="none"/>
              </w:rPr>
            </w:pPr>
            <w:r>
              <w:rPr>
                <w:rFonts w:eastAsia="宋体"/>
                <w:color w:val="auto"/>
                <w:highlight w:val="none"/>
              </w:rPr>
              <w:t>评标人</w:t>
            </w:r>
          </w:p>
          <w:p>
            <w:pPr>
              <w:pStyle w:val="22"/>
              <w:spacing w:before="4" w:line="250" w:lineRule="exact"/>
              <w:ind w:left="108"/>
              <w:rPr>
                <w:rFonts w:eastAsia="宋体"/>
                <w:color w:val="auto"/>
                <w:highlight w:val="none"/>
              </w:rPr>
            </w:pPr>
            <w:r>
              <w:rPr>
                <w:rFonts w:eastAsia="宋体"/>
                <w:color w:val="auto"/>
                <w:highlight w:val="none"/>
              </w:rPr>
              <w:t xml:space="preserve">库 </w:t>
            </w:r>
          </w:p>
        </w:tc>
        <w:tc>
          <w:tcPr>
            <w:tcW w:w="1419" w:type="dxa"/>
            <w:noWrap w:val="0"/>
            <w:vAlign w:val="top"/>
          </w:tcPr>
          <w:p>
            <w:pPr>
              <w:pStyle w:val="22"/>
              <w:spacing w:before="137"/>
              <w:ind w:left="109"/>
              <w:rPr>
                <w:rFonts w:eastAsia="宋体"/>
                <w:color w:val="auto"/>
                <w:highlight w:val="none"/>
              </w:rPr>
            </w:pPr>
            <w:r>
              <w:rPr>
                <w:rFonts w:eastAsia="宋体"/>
                <w:color w:val="auto"/>
                <w:highlight w:val="none"/>
              </w:rPr>
              <w:t xml:space="preserve">评标人库 </w:t>
            </w:r>
          </w:p>
        </w:tc>
        <w:tc>
          <w:tcPr>
            <w:tcW w:w="1170" w:type="dxa"/>
            <w:noWrap w:val="0"/>
            <w:vAlign w:val="center"/>
          </w:tcPr>
          <w:p>
            <w:pPr>
              <w:pStyle w:val="22"/>
              <w:spacing w:before="137"/>
              <w:ind w:left="109"/>
              <w:jc w:val="center"/>
              <w:rPr>
                <w:rFonts w:eastAsia="宋体"/>
                <w:color w:val="auto"/>
                <w:highlight w:val="none"/>
              </w:rPr>
            </w:pPr>
            <w:r>
              <w:rPr>
                <w:rFonts w:eastAsia="宋体"/>
                <w:color w:val="auto"/>
                <w:highlight w:val="none"/>
              </w:rPr>
              <w:t>评标人库</w:t>
            </w:r>
          </w:p>
        </w:tc>
        <w:tc>
          <w:tcPr>
            <w:tcW w:w="1386" w:type="dxa"/>
            <w:noWrap w:val="0"/>
            <w:vAlign w:val="center"/>
          </w:tcPr>
          <w:p>
            <w:pPr>
              <w:pStyle w:val="22"/>
              <w:spacing w:before="137"/>
              <w:ind w:left="108"/>
              <w:jc w:val="center"/>
              <w:rPr>
                <w:rFonts w:eastAsia="宋体"/>
                <w:color w:val="auto"/>
                <w:highlight w:val="none"/>
              </w:rPr>
            </w:pPr>
            <w:r>
              <w:rPr>
                <w:rFonts w:eastAsia="宋体"/>
                <w:color w:val="auto"/>
                <w:highlight w:val="none"/>
              </w:rPr>
              <w:t>评标专家库</w:t>
            </w:r>
          </w:p>
        </w:tc>
        <w:tc>
          <w:tcPr>
            <w:tcW w:w="3500" w:type="dxa"/>
            <w:noWrap w:val="0"/>
            <w:vAlign w:val="top"/>
          </w:tcPr>
          <w:p>
            <w:pPr>
              <w:pStyle w:val="22"/>
              <w:spacing w:before="1"/>
              <w:ind w:left="107"/>
              <w:rPr>
                <w:rFonts w:eastAsia="宋体"/>
                <w:color w:val="auto"/>
                <w:highlight w:val="none"/>
              </w:rPr>
            </w:pPr>
            <w:r>
              <w:rPr>
                <w:rFonts w:hint="eastAsia" w:eastAsia="宋体"/>
                <w:color w:val="auto"/>
                <w:highlight w:val="none"/>
              </w:rPr>
              <w:t>后台添加专家基础数据，可以绑定子账号</w:t>
            </w:r>
            <w:r>
              <w:rPr>
                <w:rFonts w:eastAsia="宋体"/>
                <w:color w:val="auto"/>
                <w:highlight w:val="none"/>
              </w:rPr>
              <w:t>，如需评标时可</w:t>
            </w:r>
            <w:r>
              <w:rPr>
                <w:rFonts w:hint="eastAsia" w:eastAsia="宋体"/>
                <w:color w:val="auto"/>
                <w:highlight w:val="none"/>
              </w:rPr>
              <w:t>直接选择</w:t>
            </w:r>
            <w:r>
              <w:rPr>
                <w:rFonts w:eastAsia="宋体"/>
                <w:color w:val="auto"/>
                <w:highlight w:val="none"/>
              </w:rPr>
              <w:t>评标</w:t>
            </w:r>
            <w:r>
              <w:rPr>
                <w:rFonts w:hint="eastAsia" w:eastAsia="宋体"/>
                <w:color w:val="auto"/>
                <w:highlight w:val="none"/>
              </w:rPr>
              <w:t>专家</w:t>
            </w:r>
            <w:r>
              <w:rPr>
                <w:rFonts w:eastAsia="宋体"/>
                <w:color w:val="auto"/>
                <w:highlight w:val="none"/>
              </w:rPr>
              <w:t xml:space="preserve">，并通知参评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56" w:type="dxa"/>
            <w:vMerge w:val="restart"/>
            <w:noWrap w:val="0"/>
            <w:vAlign w:val="top"/>
          </w:tcPr>
          <w:p>
            <w:pPr>
              <w:pStyle w:val="22"/>
              <w:spacing w:before="4" w:line="250" w:lineRule="exact"/>
              <w:ind w:left="108"/>
              <w:rPr>
                <w:rFonts w:eastAsia="宋体"/>
                <w:color w:val="auto"/>
                <w:highlight w:val="none"/>
              </w:rPr>
            </w:pPr>
            <w:r>
              <w:rPr>
                <w:rFonts w:hint="eastAsia" w:eastAsia="宋体"/>
                <w:color w:val="auto"/>
                <w:highlight w:val="none"/>
              </w:rPr>
              <w:t>系统设置</w:t>
            </w:r>
          </w:p>
        </w:tc>
        <w:tc>
          <w:tcPr>
            <w:tcW w:w="1419" w:type="dxa"/>
            <w:noWrap w:val="0"/>
            <w:vAlign w:val="top"/>
          </w:tcPr>
          <w:p>
            <w:pPr>
              <w:pStyle w:val="22"/>
              <w:spacing w:before="137"/>
              <w:ind w:left="109"/>
              <w:rPr>
                <w:rFonts w:eastAsia="宋体"/>
                <w:color w:val="auto"/>
                <w:highlight w:val="none"/>
              </w:rPr>
            </w:pPr>
            <w:r>
              <w:rPr>
                <w:rFonts w:hint="eastAsia" w:eastAsia="宋体"/>
                <w:color w:val="auto"/>
                <w:highlight w:val="none"/>
              </w:rPr>
              <w:t>用户管理</w:t>
            </w:r>
          </w:p>
        </w:tc>
        <w:tc>
          <w:tcPr>
            <w:tcW w:w="1170" w:type="dxa"/>
            <w:noWrap w:val="0"/>
            <w:vAlign w:val="center"/>
          </w:tcPr>
          <w:p>
            <w:pPr>
              <w:pStyle w:val="22"/>
              <w:spacing w:before="137"/>
              <w:ind w:left="109"/>
              <w:jc w:val="center"/>
              <w:rPr>
                <w:rFonts w:eastAsia="宋体"/>
                <w:color w:val="auto"/>
                <w:highlight w:val="none"/>
              </w:rPr>
            </w:pPr>
          </w:p>
        </w:tc>
        <w:tc>
          <w:tcPr>
            <w:tcW w:w="1386" w:type="dxa"/>
            <w:noWrap w:val="0"/>
            <w:vAlign w:val="center"/>
          </w:tcPr>
          <w:p>
            <w:pPr>
              <w:pStyle w:val="22"/>
              <w:spacing w:before="137"/>
              <w:ind w:left="108"/>
              <w:jc w:val="center"/>
              <w:rPr>
                <w:rFonts w:eastAsia="宋体"/>
                <w:color w:val="auto"/>
                <w:highlight w:val="none"/>
              </w:rPr>
            </w:pPr>
          </w:p>
        </w:tc>
        <w:tc>
          <w:tcPr>
            <w:tcW w:w="3500" w:type="dxa"/>
            <w:noWrap w:val="0"/>
            <w:vAlign w:val="top"/>
          </w:tcPr>
          <w:p>
            <w:pPr>
              <w:pStyle w:val="22"/>
              <w:spacing w:before="1"/>
              <w:ind w:left="107"/>
              <w:rPr>
                <w:rFonts w:eastAsia="宋体"/>
                <w:color w:val="auto"/>
                <w:highlight w:val="none"/>
              </w:rPr>
            </w:pPr>
            <w:r>
              <w:rPr>
                <w:rFonts w:hint="eastAsia" w:eastAsia="宋体"/>
                <w:color w:val="auto"/>
                <w:highlight w:val="none"/>
              </w:rPr>
              <w:t>增删查改用户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56" w:type="dxa"/>
            <w:vMerge w:val="continue"/>
            <w:noWrap w:val="0"/>
            <w:vAlign w:val="top"/>
          </w:tcPr>
          <w:p>
            <w:pPr>
              <w:pStyle w:val="22"/>
              <w:spacing w:before="4" w:line="250" w:lineRule="exact"/>
              <w:ind w:left="108"/>
              <w:rPr>
                <w:rFonts w:eastAsia="宋体"/>
                <w:color w:val="auto"/>
                <w:highlight w:val="none"/>
              </w:rPr>
            </w:pPr>
          </w:p>
        </w:tc>
        <w:tc>
          <w:tcPr>
            <w:tcW w:w="1419" w:type="dxa"/>
            <w:noWrap w:val="0"/>
            <w:vAlign w:val="top"/>
          </w:tcPr>
          <w:p>
            <w:pPr>
              <w:pStyle w:val="22"/>
              <w:spacing w:before="137"/>
              <w:ind w:left="109"/>
              <w:rPr>
                <w:rFonts w:eastAsia="宋体"/>
                <w:color w:val="auto"/>
                <w:highlight w:val="none"/>
              </w:rPr>
            </w:pPr>
            <w:r>
              <w:rPr>
                <w:rFonts w:hint="eastAsia" w:eastAsia="宋体"/>
                <w:color w:val="auto"/>
                <w:highlight w:val="none"/>
              </w:rPr>
              <w:t>权限管理</w:t>
            </w:r>
          </w:p>
        </w:tc>
        <w:tc>
          <w:tcPr>
            <w:tcW w:w="1170" w:type="dxa"/>
            <w:noWrap w:val="0"/>
            <w:vAlign w:val="center"/>
          </w:tcPr>
          <w:p>
            <w:pPr>
              <w:pStyle w:val="22"/>
              <w:spacing w:before="137"/>
              <w:ind w:left="109"/>
              <w:jc w:val="center"/>
              <w:rPr>
                <w:rFonts w:eastAsia="宋体"/>
                <w:color w:val="auto"/>
                <w:highlight w:val="none"/>
              </w:rPr>
            </w:pPr>
          </w:p>
        </w:tc>
        <w:tc>
          <w:tcPr>
            <w:tcW w:w="1386" w:type="dxa"/>
            <w:noWrap w:val="0"/>
            <w:vAlign w:val="center"/>
          </w:tcPr>
          <w:p>
            <w:pPr>
              <w:pStyle w:val="22"/>
              <w:spacing w:before="137"/>
              <w:ind w:left="108"/>
              <w:jc w:val="center"/>
              <w:rPr>
                <w:rFonts w:eastAsia="宋体"/>
                <w:color w:val="auto"/>
                <w:highlight w:val="none"/>
              </w:rPr>
            </w:pPr>
          </w:p>
        </w:tc>
        <w:tc>
          <w:tcPr>
            <w:tcW w:w="3500" w:type="dxa"/>
            <w:noWrap w:val="0"/>
            <w:vAlign w:val="top"/>
          </w:tcPr>
          <w:p>
            <w:pPr>
              <w:pStyle w:val="22"/>
              <w:spacing w:before="1"/>
              <w:ind w:left="107"/>
              <w:rPr>
                <w:rFonts w:eastAsia="宋体"/>
                <w:color w:val="auto"/>
                <w:highlight w:val="none"/>
              </w:rPr>
            </w:pPr>
            <w:r>
              <w:rPr>
                <w:rFonts w:hint="eastAsia" w:eastAsia="宋体"/>
                <w:color w:val="auto"/>
                <w:highlight w:val="none"/>
              </w:rPr>
              <w:t>管理类用户的操作权限管理</w:t>
            </w:r>
          </w:p>
        </w:tc>
      </w:tr>
    </w:tbl>
    <w:p>
      <w:pPr>
        <w:pStyle w:val="8"/>
        <w:spacing w:line="480" w:lineRule="auto"/>
        <w:rPr>
          <w:rFonts w:hint="eastAsia" w:hAnsi="宋体"/>
          <w:b/>
          <w:color w:val="auto"/>
          <w:sz w:val="24"/>
          <w:szCs w:val="24"/>
          <w:highlight w:val="none"/>
        </w:rPr>
      </w:pPr>
    </w:p>
    <w:p>
      <w:pPr>
        <w:pStyle w:val="8"/>
        <w:spacing w:line="480" w:lineRule="auto"/>
        <w:rPr>
          <w:rFonts w:hint="eastAsia" w:hAnsi="宋体" w:cs="宋体"/>
          <w:color w:val="auto"/>
          <w:sz w:val="24"/>
          <w:highlight w:val="none"/>
        </w:rPr>
      </w:pPr>
      <w:r>
        <w:rPr>
          <w:rFonts w:hint="eastAsia" w:hAnsi="宋体"/>
          <w:b/>
          <w:color w:val="auto"/>
          <w:sz w:val="24"/>
          <w:szCs w:val="24"/>
          <w:highlight w:val="none"/>
        </w:rPr>
        <w:t>②</w:t>
      </w:r>
      <w:r>
        <w:rPr>
          <w:rFonts w:hint="eastAsia" w:hAnsi="宋体" w:cs="宋体"/>
          <w:color w:val="auto"/>
          <w:sz w:val="24"/>
          <w:highlight w:val="none"/>
        </w:rPr>
        <w:t>工程管理系统</w:t>
      </w:r>
    </w:p>
    <w:tbl>
      <w:tblPr>
        <w:tblStyle w:val="15"/>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36"/>
        <w:gridCol w:w="1649"/>
        <w:gridCol w:w="1583"/>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jc w:val="center"/>
        </w:trPr>
        <w:tc>
          <w:tcPr>
            <w:tcW w:w="1336" w:type="dxa"/>
            <w:vMerge w:val="restart"/>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b/>
                <w:bCs/>
                <w:color w:val="auto"/>
                <w:sz w:val="21"/>
                <w:szCs w:val="21"/>
                <w:highlight w:val="none"/>
              </w:rPr>
            </w:pPr>
            <w:r>
              <w:rPr>
                <w:rFonts w:hint="eastAsia" w:hAnsi="宋体" w:cs="宋体"/>
                <w:b/>
                <w:bCs/>
                <w:color w:val="auto"/>
                <w:sz w:val="21"/>
                <w:szCs w:val="21"/>
                <w:highlight w:val="none"/>
              </w:rPr>
              <w:t>投标管理</w:t>
            </w:r>
          </w:p>
        </w:tc>
        <w:tc>
          <w:tcPr>
            <w:tcW w:w="1649" w:type="dxa"/>
            <w:vMerge w:val="restart"/>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项目信息</w:t>
            </w:r>
          </w:p>
        </w:tc>
        <w:tc>
          <w:tcPr>
            <w:tcW w:w="1583"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项目新增</w:t>
            </w:r>
          </w:p>
        </w:tc>
        <w:tc>
          <w:tcPr>
            <w:tcW w:w="3991"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填写项目名称、项目简介、项目地址、录入人、录入日期、项目性质、项目类型、投标负责人、预计投标日期、预计投标费、预计合同金额、建设单位、联系人、联系电话、设计单位、监理单位、备注等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b/>
                <w:bCs/>
                <w:color w:val="auto"/>
                <w:sz w:val="21"/>
                <w:szCs w:val="21"/>
                <w:highlight w:val="none"/>
              </w:rPr>
            </w:pPr>
          </w:p>
        </w:tc>
        <w:tc>
          <w:tcPr>
            <w:tcW w:w="1649"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583"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项目信息查询</w:t>
            </w:r>
          </w:p>
        </w:tc>
        <w:tc>
          <w:tcPr>
            <w:tcW w:w="3991"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可根据项目名称、项目类型、建设单位、录取人、投标负责人、起止时间查询项目信息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b/>
                <w:bCs/>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招标文件购买申请</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对已信息立项的项目需要购买招标文件的在此处发起申请，填写项目信息自动带出项目类型、建设单位信息，输入招投标的文件费。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b/>
                <w:bCs/>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招标文件购买查询</w:t>
            </w:r>
          </w:p>
          <w:p>
            <w:pPr>
              <w:pStyle w:val="12"/>
              <w:wordWrap w:val="0"/>
              <w:spacing w:before="75" w:beforeAutospacing="0" w:after="75" w:afterAutospacing="0" w:line="276" w:lineRule="auto"/>
              <w:rPr>
                <w:rFonts w:hint="eastAsia" w:hAnsi="宋体" w:cs="宋体"/>
                <w:color w:val="auto"/>
                <w:sz w:val="21"/>
                <w:szCs w:val="21"/>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可根据项目名称、项目类型、建设单位、申请人、起止时间查询项目招投标文件购买情况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b/>
                <w:bCs/>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资格自审</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建筑公司内部对提交给建设方的资格证明资料（营业执照、安全生产许可证、资格证书登记、类似项目业绩等）的自审，选择项目、把需要自审的资料附件上传到系统。</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资格自审查询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可根据项目名称、项目类型、建设单位、申请人、起止时间查询项目资格自审情况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b/>
                <w:bCs/>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项目勘察</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投标前对项目现场勘察的记录，选择项目、填写参与人员、勘察时间、勘察情况、并把相关的附件进行上传。</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项目勘察查询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可根据项目名称、项目类型、建设单位、申请人、起止时间查询项目勘察情况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b/>
                <w:bCs/>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投标文件审查</w:t>
            </w:r>
          </w:p>
          <w:p>
            <w:pPr>
              <w:pStyle w:val="12"/>
              <w:wordWrap w:val="0"/>
              <w:spacing w:before="75" w:beforeAutospacing="0" w:after="75" w:afterAutospacing="0" w:line="276" w:lineRule="auto"/>
              <w:rPr>
                <w:rFonts w:hint="eastAsia" w:hAnsi="宋体" w:cs="宋体"/>
                <w:color w:val="auto"/>
                <w:sz w:val="21"/>
                <w:szCs w:val="21"/>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根据招标方招标要求提交投标文件，一般由商务文件、技术文件、报价文件和其他部分组成，在报送招标方之前把相关的资料上传到系统公司内部审查，填写项目名称、项目类型、建设单位、申请人、日期、投标金额等信息</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投标文件审查查询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可根据项目名称、项目类型、建设单位、申请人、起止时间查询项目投标文件的审查情况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b/>
                <w:bCs/>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投标保证金申请</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向公司提交投标保证金的申请，填写项目名称、项目类型、收取单位、开户行、账号、保证金金额、交款日期、预计退回日期等</w:t>
            </w:r>
          </w:p>
          <w:p>
            <w:pPr>
              <w:pStyle w:val="12"/>
              <w:wordWrap w:val="0"/>
              <w:spacing w:before="75" w:beforeAutospacing="0" w:after="75" w:afterAutospacing="0" w:line="276" w:lineRule="auto"/>
              <w:rPr>
                <w:rFonts w:hint="eastAsia" w:hAnsi="宋体" w:cs="宋体"/>
                <w:color w:val="auto"/>
                <w:sz w:val="21"/>
                <w:szCs w:val="21"/>
                <w:highlight w:val="none"/>
              </w:rPr>
            </w:pP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投标保证金申请查询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可根据项目名称、项目类型、收取单位、申请人、起止时间查询项目投标保证金情况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b/>
                <w:bCs/>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竞争对手情况</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把了解到的竞争对手情况录入到系统，填写项目名称、项目类型、日期、备注、公司名称、投标报价、有效报价、下浮率、偏差率、得分等</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竞争对手情况查询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可根据项目名称、项目类型、录入人、起止时间查询项目竞争对手情况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b/>
                <w:bCs/>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项目业务费申请</w:t>
            </w:r>
          </w:p>
          <w:p>
            <w:pPr>
              <w:pStyle w:val="12"/>
              <w:wordWrap w:val="0"/>
              <w:spacing w:before="75" w:beforeAutospacing="0" w:after="75" w:afterAutospacing="0" w:line="276" w:lineRule="auto"/>
              <w:rPr>
                <w:rFonts w:hint="eastAsia" w:hAnsi="宋体" w:cs="宋体"/>
                <w:color w:val="auto"/>
                <w:sz w:val="21"/>
                <w:szCs w:val="21"/>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跟进项目所产生的费用的报销，填写项目名称、项目类型、申请人、申请金额、日期、申请事由、备注等</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项目业务费申请查询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可根据项目名称、申请人、起止时间查询跟进项目的费用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jc w:val="center"/>
        </w:trPr>
        <w:tc>
          <w:tcPr>
            <w:tcW w:w="1336" w:type="dxa"/>
            <w:vMerge w:val="restart"/>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hAnsi="宋体" w:cs="宋体"/>
                <w:b/>
                <w:bCs/>
                <w:color w:val="auto"/>
                <w:sz w:val="21"/>
                <w:szCs w:val="21"/>
                <w:highlight w:val="none"/>
              </w:rPr>
              <w:t>招标管理</w:t>
            </w:r>
          </w:p>
        </w:tc>
        <w:tc>
          <w:tcPr>
            <w:tcW w:w="1649" w:type="dxa"/>
            <w:vMerge w:val="restart"/>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大型物资招标采购计划</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（数据需对接招标采购系统）</w:t>
            </w:r>
          </w:p>
        </w:tc>
        <w:tc>
          <w:tcPr>
            <w:tcW w:w="1583"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新增计划</w:t>
            </w:r>
          </w:p>
        </w:tc>
        <w:tc>
          <w:tcPr>
            <w:tcW w:w="3991"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填写项目名称、编制人、日期、备注、物品名称、规格型号、估算数量、物资采购单位、采购时间、采购地点、候选供应商名单等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649"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583"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r>
              <w:rPr>
                <w:rFonts w:hint="eastAsia" w:hAnsi="宋体" w:cs="宋体"/>
                <w:color w:val="auto"/>
                <w:highlight w:val="none"/>
              </w:rPr>
              <w:t>大型物资招标采购计划查询</w:t>
            </w:r>
          </w:p>
          <w:p>
            <w:pPr>
              <w:pStyle w:val="12"/>
              <w:wordWrap w:val="0"/>
              <w:spacing w:before="75" w:beforeAutospacing="0" w:after="75" w:afterAutospacing="0" w:line="276" w:lineRule="auto"/>
              <w:rPr>
                <w:rFonts w:hint="eastAsia" w:hAnsi="宋体" w:cs="宋体"/>
                <w:color w:val="auto"/>
                <w:highlight w:val="none"/>
              </w:rPr>
            </w:pPr>
          </w:p>
        </w:tc>
        <w:tc>
          <w:tcPr>
            <w:tcW w:w="3991"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r>
              <w:rPr>
                <w:rFonts w:hint="eastAsia" w:hAnsi="宋体" w:cs="宋体"/>
                <w:color w:val="auto"/>
                <w:highlight w:val="none"/>
              </w:rPr>
              <w:t>可根据项目名称、编制人、起止时间查询项目大型物资招标采购计划。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649"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583"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r>
              <w:rPr>
                <w:rFonts w:hint="eastAsia" w:hAnsi="宋体" w:cs="宋体"/>
                <w:color w:val="auto"/>
                <w:highlight w:val="none"/>
              </w:rPr>
              <w:t>大型物资招标采购计划查询（明细）</w:t>
            </w:r>
          </w:p>
        </w:tc>
        <w:tc>
          <w:tcPr>
            <w:tcW w:w="3991"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r>
              <w:rPr>
                <w:rFonts w:hint="eastAsia" w:hAnsi="宋体" w:cs="宋体"/>
                <w:color w:val="auto"/>
                <w:highlight w:val="none"/>
              </w:rPr>
              <w:t>可以查询某项材料在所有项目的招标数，也可查询某项目上的所有招标材料和数量。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649" w:type="dxa"/>
            <w:vMerge w:val="restart"/>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r>
              <w:rPr>
                <w:rFonts w:hint="eastAsia" w:hAnsi="宋体" w:cs="宋体"/>
                <w:color w:val="auto"/>
                <w:highlight w:val="none"/>
              </w:rPr>
              <w:t>分包招标计划</w:t>
            </w:r>
            <w:r>
              <w:rPr>
                <w:rFonts w:hint="eastAsia" w:hAnsi="宋体" w:cs="宋体"/>
                <w:color w:val="auto"/>
                <w:sz w:val="21"/>
                <w:szCs w:val="21"/>
                <w:highlight w:val="none"/>
              </w:rPr>
              <w:t>（数据需对接招标采购系统）</w:t>
            </w:r>
          </w:p>
        </w:tc>
        <w:tc>
          <w:tcPr>
            <w:tcW w:w="1583"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新增计划</w:t>
            </w:r>
          </w:p>
        </w:tc>
        <w:tc>
          <w:tcPr>
            <w:tcW w:w="3991"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填写项目名称、编制人、日期、备注、分包项目、分包工作内容、计划招标时间、组织招标方、分包方式、分包商选择方式、候选分包商名单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649"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583"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分包招标计划查询</w:t>
            </w:r>
          </w:p>
        </w:tc>
        <w:tc>
          <w:tcPr>
            <w:tcW w:w="3991"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可根据项目名称、申请人、起止时间查询分包计划。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649"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583"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分包招标采购计划查询（明细）</w:t>
            </w:r>
          </w:p>
        </w:tc>
        <w:tc>
          <w:tcPr>
            <w:tcW w:w="3991"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可查询某项专业分包在所有项目的招标情况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vMerge w:val="restart"/>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招标报价对比</w:t>
            </w:r>
          </w:p>
        </w:tc>
        <w:tc>
          <w:tcPr>
            <w:tcW w:w="1583"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填写信息</w:t>
            </w:r>
          </w:p>
        </w:tc>
        <w:tc>
          <w:tcPr>
            <w:tcW w:w="3991"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填写项目名称、编制人、日期、备注、招标内容、单位、数量/工程量、标底低价、供应商1、价格、供应商2、价格、供应商3、价格等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649"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583"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r>
              <w:rPr>
                <w:rFonts w:hint="eastAsia" w:hAnsi="宋体" w:cs="宋体"/>
                <w:color w:val="auto"/>
                <w:highlight w:val="none"/>
              </w:rPr>
              <w:t>招标报价对比查询</w:t>
            </w:r>
          </w:p>
        </w:tc>
        <w:tc>
          <w:tcPr>
            <w:tcW w:w="3991"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r>
              <w:rPr>
                <w:rFonts w:hint="eastAsia" w:hAnsi="宋体" w:cs="宋体"/>
                <w:color w:val="auto"/>
                <w:highlight w:val="none"/>
              </w:rPr>
              <w:t>可根据项目名称、编制人、起止时间查询招标项的报价对比情况。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649"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583"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r>
              <w:rPr>
                <w:rFonts w:hint="eastAsia" w:hAnsi="宋体" w:cs="宋体"/>
                <w:color w:val="auto"/>
                <w:highlight w:val="none"/>
              </w:rPr>
              <w:t>招标报价对比查询（明细）</w:t>
            </w:r>
          </w:p>
        </w:tc>
        <w:tc>
          <w:tcPr>
            <w:tcW w:w="3991"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r>
              <w:rPr>
                <w:rFonts w:hint="eastAsia" w:hAnsi="宋体" w:cs="宋体"/>
                <w:color w:val="auto"/>
                <w:highlight w:val="none"/>
              </w:rPr>
              <w:t>可以查询某项招标内容在各项目的报价对比情况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336" w:type="dxa"/>
            <w:vMerge w:val="restart"/>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hAnsi="宋体" w:cs="宋体"/>
                <w:b/>
                <w:bCs/>
                <w:color w:val="auto"/>
                <w:sz w:val="21"/>
                <w:szCs w:val="21"/>
                <w:highlight w:val="none"/>
              </w:rPr>
              <w:t>项目立项</w:t>
            </w: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xml:space="preserve">项目立项 </w:t>
            </w:r>
          </w:p>
        </w:tc>
        <w:tc>
          <w:tcPr>
            <w:tcW w:w="5574" w:type="dxa"/>
            <w:gridSpan w:val="2"/>
            <w:noWrap w:val="0"/>
            <w:tcMar>
              <w:top w:w="75" w:type="dxa"/>
              <w:left w:w="180" w:type="dxa"/>
              <w:bottom w:w="75" w:type="dxa"/>
              <w:right w:w="240" w:type="dxa"/>
            </w:tcMar>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填写立项人的基本信息及建设单位信息，录入项目名称、计划开始时间、计划结束时间、所在区域、项目地址、工程工期、工程量估算、工程造价、预期利润、项目类型、质量登记、项目跟踪人、所属分公司、项目状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r>
              <w:rPr>
                <w:rFonts w:hint="eastAsia" w:hAnsi="宋体" w:cs="宋体"/>
                <w:color w:val="auto"/>
                <w:sz w:val="21"/>
                <w:szCs w:val="21"/>
                <w:highlight w:val="none"/>
              </w:rPr>
              <w:t xml:space="preserve">状态变更 </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项目状态：信息立项、资格审查、投标、落标、竣工等，项目状态变更是把项目当前状态在系统中进行调整</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备注说明：只有中标了的项目才能够签总承包合同、提材料总计划，其他状态的项目不可被选择。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立项查询</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以项目名称、立项人、跟踪人、开始时间、结束时间查询项目信息。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336" w:type="dxa"/>
            <w:vMerge w:val="restart"/>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hAnsi="宋体" w:cs="宋体"/>
                <w:b/>
                <w:bCs/>
                <w:color w:val="auto"/>
                <w:sz w:val="21"/>
                <w:szCs w:val="21"/>
                <w:highlight w:val="none"/>
              </w:rPr>
              <w:t>收入合同</w:t>
            </w: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收入合同</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与业主方的合同信息登记、审批、存档，录入合同名称、合同金额、合同类型、开始时间、结束时间、所属项目、甲方单位、乙方单位、签订人、结算方式、付款方式、签约时间等。可根据项目名称、合同名称、合同类型、甲方单位、签订人、起止时间查询收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r>
              <w:rPr>
                <w:rFonts w:hint="eastAsia" w:hAnsi="宋体" w:cs="宋体"/>
                <w:color w:val="auto"/>
                <w:highlight w:val="none"/>
              </w:rPr>
              <w:t>进度款申报（收入）</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把上报给业主的工程量和最终审定下来的工程量录入到系统，并把结算签证作为附件上传系统保存。</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进度款申报（收入）查询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可根据项目名称、甲方单位、合同名称、申报人、起止时间查询收入合同的进度款申报。进度款申报（收入）查询明细</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可根据清单项查询进度款申报情况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合同收款</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根据业主最终认定完成的工程量，开据发票向业主进行收款，收到款项后把实际收到工程款录入到系统。</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备注说明：发票及其他资料做附件上传</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合同收款查询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可根据项目名称、合同名称、甲方单位、填报人查询收入合同收款信息。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收入合同报表</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此报表以甲方合同为主体，体现合同金额、累计结算、累计收款、结算未支付的情况。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1336" w:type="dxa"/>
            <w:vMerge w:val="restart"/>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hAnsi="宋体" w:cs="宋体"/>
                <w:b/>
                <w:bCs/>
                <w:color w:val="auto"/>
                <w:sz w:val="21"/>
                <w:szCs w:val="21"/>
                <w:highlight w:val="none"/>
              </w:rPr>
              <w:t>材料管理</w:t>
            </w: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材料总计划</w:t>
            </w:r>
          </w:p>
          <w:p>
            <w:pPr>
              <w:pStyle w:val="12"/>
              <w:wordWrap w:val="0"/>
              <w:spacing w:before="75" w:beforeAutospacing="0" w:after="75" w:afterAutospacing="0" w:line="276" w:lineRule="auto"/>
              <w:rPr>
                <w:rFonts w:hint="eastAsia" w:hAnsi="宋体" w:cs="宋体"/>
                <w:color w:val="auto"/>
                <w:sz w:val="21"/>
                <w:szCs w:val="21"/>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项目部开工前编制材料总体需用计划，作为公司备料和项目部编制月物资采购计划的依据。根据材料总体计划量以及合同签订价或最近采购价自动生成材料的目标成本，用以控制材料的实际成本。</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填写“材料计划的名称”“项目名称”“填报日期”“材料名称”“规格型号”“单位”“总计划量”“使用部位”</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材料总计划查询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可根据项目名称、填报人、起止时间查询项目材料总计划</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材料总计划查询（明细）</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可以查询某项材料在所有项目的计划情况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r>
              <w:rPr>
                <w:rFonts w:hint="eastAsia" w:hAnsi="宋体" w:cs="宋体"/>
                <w:color w:val="auto"/>
                <w:highlight w:val="none"/>
              </w:rPr>
              <w:t>材料需用计划</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物资部根据技术部提供的材料需用计划和当前软件中分析的库存量来编制材料采购计划，并与材料总体计划的数量进行自动核对，对于超出总体量的材料，系统自动报警，提醒项目领导分析原因，进行改进。</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填写材料需用计划的名称、项目名称、填报时间、附件，明细表单填写材料名称、规格型号、单位、需用数量、参考价格、备注等信息。</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材料需用计划查询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可根据项目名称、填报人、起止时间查询材料需用计划</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材料需用计划查询（明细）</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可以查询某项材料在各项目的计划用量情况</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材料计划执行分析</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材料总计划各项材料和实际现场需用计划量对比分析，当剩余量为负数则项目已提材料需要计划超过材料总计划。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材料合同</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采购部经过市场询价和合同谈判后，把最终洽谈好的材料合同上传系统，经公司部门及领导审批通过后签订正式合同。</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合同主要录入合同名称、合同类型、合同金额、开始时间、结束时间、所属项目、付款方式、供应商、结算方式、签订人、签约日期、合同附件、付款条件、主要条款等合同基本信息，材料合同明细信息填写约定材料名称、规格型号、单位、采购数量、采购价格信息。</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材料合同查询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可根据项目名称、合同名称、供应商、签订人、合同签订起止时间查询材料合同。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材料入库</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现场收到供应商送货后，根据来料单把收到材料、规格型号、到场数量录入到系统中来，材料入库也是与供应商结算的重要依据。</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材料入库时，系统可查询合同签订价格，以防入库采购价格大于合同签订价。</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在验收入库时能看到这个材料的计划量、已供应量以及供应余量，采购人员可实时了解自己的计划完成情况。</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能分别体现甲供材料、采购材料和调入的材料。</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可以按自定义的签批流程对材料入库单进行签批。</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填写入库名称、所属项目、日期、供应商，材料明细填写材料名称、规格型号、单位、入库数量、单价等信息</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材料入库查询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可根据项目名称、供应商、录入人查询材料项目材料入库情况。</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材料入库查询（明细）</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可以查询某项材料在各项目入库情况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材料结算</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根据项目部验收入库的数量为准，办理供应商材料款项的结算。</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填写结算名称、项目名称、日期、供应商信息，明细表单填写结算的材料名称、规格型号、采购价、数量。</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材料结算查询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可根据项目名称、供应商、经办人、起止时间查询材料结算情况。</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材料结算查询（明细）</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可以查询某项材料在各项目结算情况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材料付款</w:t>
            </w:r>
          </w:p>
          <w:p>
            <w:pPr>
              <w:pStyle w:val="12"/>
              <w:wordWrap w:val="0"/>
              <w:spacing w:before="75" w:beforeAutospacing="0" w:after="75" w:afterAutospacing="0" w:line="276" w:lineRule="auto"/>
              <w:rPr>
                <w:rFonts w:hint="eastAsia" w:hAnsi="宋体" w:cs="宋体"/>
                <w:color w:val="auto"/>
                <w:sz w:val="21"/>
                <w:szCs w:val="21"/>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项目部向公司提交办理了结算的供应商付款申请，各业务部门和相关领导结合供应商结算情况及目前公司资金状况，核定供应商付款金额，材料付款审核通过后财务进行打款。</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填写付款名称、所属项目、供应商、开户行名称、银行账户、付款金额、日期、付款说明等</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材料付款查询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可根据项目名称、供应商、经办人、起止时间查询材料付款情况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材料出库</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项目库管员登记班组领取材料并在系统中办理出库单</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能查询当前库存量。</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可以按领料单位来查看领料情况，对于项目来说根据此可以考核外施队的用料情况。</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可以按工程部位领料，以便按部位把实耗材料与预算材料、计划材料进行对比，过程中对材料的消耗进行控制。</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可以按自定义的签批流程对材料出库单进行签批。</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填写出库名称、所属项目、领用班组、领用时间，明细表单填写材料名称、规格型号、单位、单价、出库数量。</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材料出库查询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可根据项目名称、领用班组、录入人、起止时间查询材料出库情况。</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材料出库查询（明细）</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可以查询某项材料在各个项目上班组领用情况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材料退库</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班组领用材料没有使用完退还仓库，库管员核点数量后在系统中办理材料退库。</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填写退库名称、所属项目、退库班组、日期，明细表单填写材料名称、规格型号、单位、单价、退库数量。</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材料退库查询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可以查询项目名称、退库班组、录入人、起止时间查询材料退库情况。</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材料退库查询（明细）</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可以查询某项材料在各项目上是否发生退料情况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材料调拨</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把某一项目材料调配到另外一个项目使用，库管员在系统中办理材料调拨单。</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填写调拨名称、调出项目、调入项目、日期等，材料明细填写材料名称、规格型号、单位、单价、调拨数量</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材料调拨查询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可根据调出项目、调入项目、录入人、起止时间查询材料调拨情况</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材料调拨查询（明细）</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可以查询某项材料在各项目上是否发生调拨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材料盘点</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库管员定期或者不定期对仓库材料数量盘点，把库存数量和系统中数据不平衡在材料进行盘点处理，盘盈为正数、盘亏录入负数。</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填写盘点名称、盘点项目、盘点日期，明细表单录入材料名称、规格型号、单位、盘点数量</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材料盘点查询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可根据项目名称、盘点人、起止时间查询盘点情况。</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材料盘点查询（明细）</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可以查询某项材料在各项目盘点情况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供应商报表</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以定期查询供应商报表，材料供应商入库金额、结算金额、已支付款项金额、应付账款金额及合计数据；同时也可以通过报表中的蓝色字体链接查询到项目的基本概况、累计入库金额明细数据、累计结算金额明细、累计付款明细情况；也可以通过明细数据层层关联追溯到入库单、结算单、付款单，让供应商数据管理更简单、实现高效协同的供应商精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材料进出库汇总表</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以任意查询指定的开始日期、结束日期，任意项目的材料入库数量、出库数量、退库数量、调拨数量、盘点数量及当前某种材料的项目库存结余数量，让建筑工程企业老板、高管、管理层，在公司办公室就可以远程了解到项目的材料发生及时的动态项目材料进出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1336" w:type="dxa"/>
            <w:vMerge w:val="restart"/>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hAnsi="宋体" w:cs="宋体"/>
                <w:b/>
                <w:bCs/>
                <w:color w:val="auto"/>
                <w:sz w:val="21"/>
                <w:szCs w:val="21"/>
                <w:highlight w:val="none"/>
              </w:rPr>
              <w:t>分包管理</w:t>
            </w: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分包合同</w:t>
            </w:r>
          </w:p>
          <w:p>
            <w:pPr>
              <w:pStyle w:val="12"/>
              <w:wordWrap w:val="0"/>
              <w:spacing w:before="75" w:beforeAutospacing="0" w:after="75" w:afterAutospacing="0" w:line="276" w:lineRule="auto"/>
              <w:rPr>
                <w:rFonts w:hint="eastAsia" w:hAnsi="宋体" w:cs="宋体"/>
                <w:color w:val="auto"/>
                <w:sz w:val="21"/>
                <w:szCs w:val="21"/>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与分包单位的合同信息登记，录入合同名称、合同金额、合同类型、开始时间、结束时间、所属项目、分包单位、签订人、结算方式、付款方式、签约时间等</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备注说明：如果要管理结算过程，工程量清单要导入进来作为结算的依据。</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分包合同查询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可根据项目名称、合同名称、分包单位、签订人、起止时间查询分包合同。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b/>
                <w:bCs/>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分包变更</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变更项目分包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进度款申报</w:t>
            </w:r>
          </w:p>
          <w:p>
            <w:pPr>
              <w:pStyle w:val="12"/>
              <w:wordWrap w:val="0"/>
              <w:spacing w:before="75" w:beforeAutospacing="0" w:after="75" w:afterAutospacing="0" w:line="276" w:lineRule="auto"/>
              <w:rPr>
                <w:rFonts w:hint="eastAsia" w:hAnsi="宋体" w:cs="宋体"/>
                <w:color w:val="auto"/>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把分包单位上报工程量和最终审定下来的工程量录入到系统，并把结算签证作为附件进行上传保存。</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合同名称、合同类型、合同金额、开始时间、结束时间、所属项目、分包单位、结算方式、付款方式、签订人、签约日期、合同附件、收款条件、主要条款、备注等；明细表单填写施工内容、单位、工程量、综合单价。</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进度款申报查询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可根据项目名称、合同名称、分包单位、填报人、起止时间查询分包合同的进度款申报。</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进度款申报查询（明细）</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可以查询分包项在各项目上的进度款申报情况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分包付款</w:t>
            </w:r>
          </w:p>
          <w:p>
            <w:pPr>
              <w:pStyle w:val="12"/>
              <w:wordWrap w:val="0"/>
              <w:spacing w:before="75" w:beforeAutospacing="0" w:after="75" w:afterAutospacing="0" w:line="276" w:lineRule="auto"/>
              <w:rPr>
                <w:rFonts w:hint="eastAsia" w:hAnsi="宋体" w:cs="宋体"/>
                <w:color w:val="auto"/>
                <w:sz w:val="21"/>
                <w:szCs w:val="21"/>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根据我方最终认定完成的工程量，项目部向公司提交分包付款申请，各业务部门及流程节点审批人结合结算和公司资金情况，审定最终付款金额，分包付款审核通过后财务进行打款。</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填写付款名称、合同名称、分包单位、合同金额、所属项目、结算方式、付款方式、经办人、日期、付款金额、备注</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备注说明：发票及其他付款资料做附件上传</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分包付款申请查询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可根据项目名称、合同名称、分包单位、填报人、起止时间查询分包合同付款情况。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1336" w:type="dxa"/>
            <w:vMerge w:val="restart"/>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hAnsi="宋体" w:cs="宋体"/>
                <w:b/>
                <w:bCs/>
                <w:color w:val="auto"/>
                <w:sz w:val="21"/>
                <w:szCs w:val="21"/>
                <w:highlight w:val="none"/>
              </w:rPr>
              <w:t>劳务管理</w:t>
            </w: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劳务合同</w:t>
            </w:r>
          </w:p>
          <w:p>
            <w:pPr>
              <w:pStyle w:val="12"/>
              <w:wordWrap w:val="0"/>
              <w:spacing w:before="75" w:beforeAutospacing="0" w:after="75" w:afterAutospacing="0" w:line="276" w:lineRule="auto"/>
              <w:rPr>
                <w:rFonts w:hint="eastAsia" w:hAnsi="宋体" w:cs="宋体"/>
                <w:color w:val="auto"/>
                <w:sz w:val="21"/>
                <w:szCs w:val="21"/>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与劳务班组的合同信息登记，录入合同名称、合同金额、合同类型、开始时间、结束时间、所属项目、劳务班组、签订人、结算方式、付款方式、签约时间等</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备注说明：如果要管理结算过程，工程量清单要导入进来作为结算的依据。</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劳务合同查询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可根据项目名称、合同名称、劳务班组、签订人、劳务合同签订起止时间查询劳务合同。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进度款申报</w:t>
            </w:r>
          </w:p>
          <w:p>
            <w:pPr>
              <w:pStyle w:val="12"/>
              <w:wordWrap w:val="0"/>
              <w:spacing w:before="75" w:beforeAutospacing="0" w:after="75" w:afterAutospacing="0" w:line="276" w:lineRule="auto"/>
              <w:rPr>
                <w:rFonts w:hint="eastAsia" w:hAnsi="宋体" w:cs="宋体"/>
                <w:color w:val="auto"/>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把劳务班组上报工程量和最终审定下来的工程量录入到系统，并把结算签证作为附件进行上传保存。</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进度款申报查询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可根据项目名称、合同名称、劳务班组、填报人、起止时间查询劳务进度款的申报。</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进度款申报查询（明细）</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可以查询劳务合同子项在项目上的进度申报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项目部根据劳务班组的结算金额和已付款，向公司提交劳务班主付款申请，通过公司审核后财务进行付款。</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填写付款名称、合同名称、分包单位、合同金额、所属项目、结算方式、付款方式、经办人、日期、付款金额、备注</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备注说明：发票及其他付款资料做附件上传</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劳务付款申请查询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可根据项目名称、合同名称、劳务班组、填报人、起止时间查询劳务合同付款情况。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1336" w:type="dxa"/>
            <w:vMerge w:val="restart"/>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hAnsi="宋体" w:cs="宋体"/>
                <w:b/>
                <w:bCs/>
                <w:color w:val="auto"/>
                <w:sz w:val="21"/>
                <w:szCs w:val="21"/>
                <w:highlight w:val="none"/>
              </w:rPr>
              <w:t>租赁管理</w:t>
            </w: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租赁计划</w:t>
            </w:r>
          </w:p>
          <w:p>
            <w:pPr>
              <w:pStyle w:val="12"/>
              <w:wordWrap w:val="0"/>
              <w:spacing w:before="75" w:beforeAutospacing="0" w:after="75" w:afterAutospacing="0" w:line="276" w:lineRule="auto"/>
              <w:rPr>
                <w:rFonts w:hint="eastAsia" w:hAnsi="宋体" w:cs="宋体"/>
                <w:color w:val="auto"/>
                <w:sz w:val="21"/>
                <w:szCs w:val="21"/>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填写租赁名称、项目名称、日期、用途，租赁明细填写租赁物品、规格型号、单位、数量、计划进场时间、计划退场时间、租赁天数</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租赁计划查询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可根据项目名称、填报人、起止时间查询租赁计划。</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租赁计划查询（明细）</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可以查询租赁机械或租赁材料在各项目上计划用量和时间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租赁合同</w:t>
            </w:r>
          </w:p>
          <w:p>
            <w:pPr>
              <w:pStyle w:val="12"/>
              <w:wordWrap w:val="0"/>
              <w:spacing w:before="75" w:beforeAutospacing="0" w:after="75" w:afterAutospacing="0" w:line="276" w:lineRule="auto"/>
              <w:rPr>
                <w:rFonts w:hint="eastAsia" w:hAnsi="宋体" w:cs="宋体"/>
                <w:color w:val="auto"/>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把与供应商最终的商谈的租赁合同提交公司审批，审批通过后保存租赁合同文件。</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租赁合同查询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可根据项目名称、合同名称、供应商、签订人、签订合同起止时间查询租赁合同。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租赁结算</w:t>
            </w:r>
          </w:p>
          <w:p>
            <w:pPr>
              <w:pStyle w:val="12"/>
              <w:wordWrap w:val="0"/>
              <w:spacing w:before="75" w:beforeAutospacing="0" w:after="75" w:afterAutospacing="0" w:line="276" w:lineRule="auto"/>
              <w:rPr>
                <w:rFonts w:hint="eastAsia" w:hAnsi="宋体" w:cs="宋体"/>
                <w:color w:val="auto"/>
                <w:sz w:val="21"/>
                <w:szCs w:val="21"/>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项目部根据租赁机械或材料进出场的时间，给供应商办理租赁的结算。</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填写结算名称、项目名称、日期、供应商、附件、备注，租赁明细填写租赁物品、规格型号、单位、数量、单价、进场时间、退场时间。</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租赁结算查询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可根据项目名称、供应商、填报人、起止时间查询项目租赁结算情况。</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租赁结算查询（明细）</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可以查询租赁机械或租赁材料在各项目结算情况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租赁付款</w:t>
            </w:r>
          </w:p>
          <w:p>
            <w:pPr>
              <w:pStyle w:val="12"/>
              <w:wordWrap w:val="0"/>
              <w:spacing w:before="75" w:beforeAutospacing="0" w:after="75" w:afterAutospacing="0" w:line="276" w:lineRule="auto"/>
              <w:rPr>
                <w:rFonts w:hint="eastAsia" w:hAnsi="宋体" w:cs="宋体"/>
                <w:color w:val="auto"/>
                <w:sz w:val="21"/>
                <w:szCs w:val="21"/>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项目部根据已办理的供应商租赁结算单，向公司发起租赁付款申请，经公司审核后财务向供应商打款。</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填写付款名称、合同名称、供应商、合同金额、所属项目、结算方式、付款方式、经办人、日期、付款金额、备注</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租赁付款申请查询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可根据项目名称、供应商、填报人、起止时间项目查询租赁情况。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1336" w:type="dxa"/>
            <w:vMerge w:val="restart"/>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hAnsi="宋体" w:cs="宋体"/>
                <w:b/>
                <w:bCs/>
                <w:color w:val="auto"/>
                <w:sz w:val="21"/>
                <w:szCs w:val="21"/>
                <w:highlight w:val="none"/>
              </w:rPr>
              <w:t>成本管理</w:t>
            </w: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费用报销</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项目部把日常费用通过费用报销提交给公司审核，上报时费用对应费用科目、关联项目。</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成本概算：由《成本概算》控制费用报销额度</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成本计划：由《总费用计划》控制费用报销额度</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审批控制出账</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填写报销名称、项目名称、申请人、部门、申请日期、备注、附件</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费用报销查询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可根据项目名称、填报人、部门、起止时间查询项目费用报销情况。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间接费用表</w:t>
            </w:r>
          </w:p>
          <w:p>
            <w:pPr>
              <w:pStyle w:val="12"/>
              <w:wordWrap w:val="0"/>
              <w:spacing w:before="75" w:beforeAutospacing="0" w:after="75" w:afterAutospacing="0" w:line="276" w:lineRule="auto"/>
              <w:rPr>
                <w:rFonts w:hint="eastAsia" w:hAnsi="宋体" w:cs="宋体"/>
                <w:color w:val="auto"/>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根据费用报销时选择的费用科目统计各项已发生费用，可按项目、部门、开始时间、结束时间来查询。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成本统计表</w:t>
            </w:r>
          </w:p>
          <w:p>
            <w:pPr>
              <w:pStyle w:val="12"/>
              <w:wordWrap w:val="0"/>
              <w:spacing w:before="75" w:beforeAutospacing="0" w:after="75" w:afterAutospacing="0" w:line="276" w:lineRule="auto"/>
              <w:rPr>
                <w:rFonts w:hint="eastAsia" w:hAnsi="宋体" w:cs="宋体"/>
                <w:color w:val="auto"/>
                <w:sz w:val="21"/>
                <w:szCs w:val="21"/>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以直接成本（材料、租赁、劳务、分包）间接成本（按科目）的形式统计项目上成本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利润表</w:t>
            </w:r>
          </w:p>
          <w:p>
            <w:pPr>
              <w:pStyle w:val="12"/>
              <w:wordWrap w:val="0"/>
              <w:spacing w:before="75" w:beforeAutospacing="0" w:after="75" w:afterAutospacing="0" w:line="276" w:lineRule="auto"/>
              <w:rPr>
                <w:rFonts w:hint="eastAsia" w:hAnsi="宋体" w:cs="宋体"/>
                <w:color w:val="auto"/>
                <w:sz w:val="21"/>
                <w:szCs w:val="21"/>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以项目的收入支出统计项目毛利（报表上蓝色字体可链接到原数据记录）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项目经营情况分析</w:t>
            </w:r>
          </w:p>
          <w:p>
            <w:pPr>
              <w:pStyle w:val="12"/>
              <w:wordWrap w:val="0"/>
              <w:spacing w:before="75" w:beforeAutospacing="0" w:after="75" w:afterAutospacing="0" w:line="276" w:lineRule="auto"/>
              <w:rPr>
                <w:rFonts w:hint="eastAsia" w:hAnsi="宋体" w:cs="宋体"/>
                <w:color w:val="auto"/>
                <w:sz w:val="21"/>
                <w:szCs w:val="21"/>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项目收入合同额、结算、收款；项目支出合同额、结算、付款，体现项目经营情况。。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1336" w:type="dxa"/>
            <w:vMerge w:val="restart"/>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hAnsi="宋体" w:cs="宋体"/>
                <w:b/>
                <w:bCs/>
                <w:color w:val="auto"/>
                <w:sz w:val="21"/>
                <w:szCs w:val="21"/>
                <w:highlight w:val="none"/>
              </w:rPr>
              <w:t>证件管理</w:t>
            </w: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证件录入</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填写姓名、性别、部门、身份证号码、联系电话、发证单位、证书编号、证件类型、注册编号、资格证书编号、专业类别、有效截止时间、存放地点、证件录入人、图片附件等</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证件查询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可根据姓名、身份证号码、证件类型查询证件信息。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r>
              <w:rPr>
                <w:rFonts w:hint="eastAsia" w:hAnsi="宋体" w:cs="宋体"/>
                <w:color w:val="auto"/>
                <w:sz w:val="21"/>
                <w:szCs w:val="21"/>
                <w:highlight w:val="none"/>
              </w:rPr>
              <w:t>证件费用</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填写录入人、姓名、性别、证书名称、证件编号、开始时间、结束时间、证件费用、备注等</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证件费用查询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可根据姓名、证件类型、起止时间查询证件费用。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证件借出</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填写借用人、部门、日期、出借项目、预计归还日期、姓名、证书编号、证件名称、存放地点、备注等</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证件借出查询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可根据借出人、部门、起止时间查询证件借出记录。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证件归还</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填写归还人、部门、日期、备注、姓名、证件编号、证件名称、存放地点等</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证件归还查询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可根据归还人、部门、起止时间查询证件归还记录。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1336" w:type="dxa"/>
            <w:vMerge w:val="restart"/>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hAnsi="宋体" w:cs="宋体"/>
                <w:b/>
                <w:bCs/>
                <w:color w:val="auto"/>
                <w:sz w:val="21"/>
                <w:szCs w:val="21"/>
                <w:highlight w:val="none"/>
              </w:rPr>
              <w:t>设备管理</w:t>
            </w: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设备需求计划</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填写计划名称、项目名称、填报人、备注、设备名称、规格型号、单位、需用量、备注等</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设备需求计划查询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可根据项目名称、填报人、起止时间查询项目机械设备需求计划。</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设备需求计划查询（明细）</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可以查询某项机械设备在各项目上的需求计划数量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r>
              <w:rPr>
                <w:rFonts w:hint="eastAsia" w:hAnsi="宋体" w:cs="宋体"/>
                <w:color w:val="auto"/>
                <w:sz w:val="21"/>
                <w:szCs w:val="21"/>
                <w:highlight w:val="none"/>
              </w:rPr>
              <w:t>设备油耗</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填写项目名称、日期、填报人、设备名称、规格型号、耗油量、油价、油费等</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设备油耗查询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可根据项目名称、填报人、起止时间查询项目设备油耗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设备检查</w:t>
            </w:r>
          </w:p>
          <w:p>
            <w:pPr>
              <w:pStyle w:val="12"/>
              <w:wordWrap w:val="0"/>
              <w:spacing w:before="75" w:beforeAutospacing="0" w:after="75" w:afterAutospacing="0" w:line="276" w:lineRule="auto"/>
              <w:rPr>
                <w:rFonts w:hint="eastAsia" w:hAnsi="宋体" w:cs="宋体"/>
                <w:color w:val="auto"/>
                <w:sz w:val="21"/>
                <w:szCs w:val="21"/>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填写检查名称、项目名称、填报人、日期、备注、设备名称、检查情况、整改措施等</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设备检查查询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可根据项目名称、填报人、起止时间查询机械设备检查记录。</w:t>
            </w:r>
          </w:p>
          <w:p>
            <w:pPr>
              <w:pStyle w:val="12"/>
              <w:wordWrap w:val="0"/>
              <w:spacing w:before="75" w:beforeAutospacing="0" w:after="75" w:afterAutospacing="0" w:line="276" w:lineRule="auto"/>
              <w:rPr>
                <w:rFonts w:hint="eastAsia"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设备维保</w:t>
            </w:r>
          </w:p>
          <w:p>
            <w:pPr>
              <w:pStyle w:val="12"/>
              <w:wordWrap w:val="0"/>
              <w:spacing w:before="75" w:beforeAutospacing="0" w:after="75" w:afterAutospacing="0" w:line="276" w:lineRule="auto"/>
              <w:rPr>
                <w:rFonts w:hint="eastAsia" w:hAnsi="宋体" w:cs="宋体"/>
                <w:color w:val="auto"/>
                <w:sz w:val="21"/>
                <w:szCs w:val="21"/>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填写维保名称、项目名称、填报人、日期、备注、设备名称、维保内容、工时数、人工合价、材料合价等</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设备维保查询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可根据项目名称、填报人、起止时间查询机械设备维保记录。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1336" w:type="dxa"/>
            <w:vMerge w:val="restart"/>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hAnsi="宋体" w:cs="宋体"/>
                <w:b/>
                <w:bCs/>
                <w:color w:val="auto"/>
                <w:sz w:val="21"/>
                <w:szCs w:val="21"/>
                <w:highlight w:val="none"/>
              </w:rPr>
              <w:t>进度管理</w:t>
            </w: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进度维护</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填写项目名称、编号、清单子目、单位、工程量、综合单价、合价等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进度填报</w:t>
            </w:r>
          </w:p>
          <w:p>
            <w:pPr>
              <w:pStyle w:val="12"/>
              <w:wordWrap w:val="0"/>
              <w:spacing w:before="75" w:beforeAutospacing="0" w:after="75" w:afterAutospacing="0" w:line="276" w:lineRule="auto"/>
              <w:rPr>
                <w:rFonts w:hint="eastAsia" w:hAnsi="宋体" w:cs="宋体"/>
                <w:color w:val="auto"/>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填写填报名称、项目名称、日期、项目名称、单位、工程量、综合单价、合价、完工量等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336" w:type="dxa"/>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hAnsi="宋体" w:cs="宋体"/>
                <w:b/>
                <w:bCs/>
                <w:color w:val="auto"/>
                <w:sz w:val="21"/>
                <w:szCs w:val="21"/>
                <w:highlight w:val="none"/>
              </w:rPr>
              <w:t>资金管理</w:t>
            </w: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资金计划</w:t>
            </w:r>
          </w:p>
          <w:p>
            <w:pPr>
              <w:pStyle w:val="12"/>
              <w:wordWrap w:val="0"/>
              <w:spacing w:before="75" w:beforeAutospacing="0" w:after="75" w:afterAutospacing="0" w:line="276" w:lineRule="auto"/>
              <w:rPr>
                <w:rFonts w:hint="eastAsia" w:hAnsi="宋体" w:cs="宋体"/>
                <w:color w:val="auto"/>
                <w:sz w:val="21"/>
                <w:szCs w:val="21"/>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填写资金计划名称、项目名称、填报人、填报日期、计划月份、费用类型、计划金额等</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资金计划查询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可根据项目名称、计划月份、填报人、起止时间查询项目资金计划信息。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336" w:type="dxa"/>
            <w:vMerge w:val="restart"/>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hAnsi="宋体" w:cs="宋体"/>
                <w:b/>
                <w:bCs/>
                <w:color w:val="auto"/>
                <w:sz w:val="21"/>
                <w:szCs w:val="21"/>
                <w:highlight w:val="none"/>
              </w:rPr>
              <w:t>质量管理</w:t>
            </w: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hAnsi="宋体" w:cs="宋体"/>
                <w:color w:val="auto"/>
                <w:sz w:val="21"/>
                <w:szCs w:val="21"/>
                <w:highlight w:val="none"/>
              </w:rPr>
              <w:t>质量巡检</w:t>
            </w:r>
          </w:p>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hAnsi="宋体" w:cs="宋体"/>
                <w:color w:val="auto"/>
                <w:sz w:val="21"/>
                <w:szCs w:val="21"/>
                <w:highlight w:val="none"/>
              </w:rPr>
              <w:t>三检制</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填写项目名称、质检员、检查部位、检查情况、纠正、预防措施、备注等</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质量巡检查询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可根据项目名称、质检员、检查部位、起止时间查询项目质量巡检。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hAnsi="宋体" w:cs="宋体"/>
                <w:color w:val="auto"/>
                <w:sz w:val="21"/>
                <w:szCs w:val="21"/>
                <w:highlight w:val="none"/>
              </w:rPr>
              <w:t>质量整改</w:t>
            </w:r>
          </w:p>
          <w:p>
            <w:pPr>
              <w:pStyle w:val="12"/>
              <w:wordWrap w:val="0"/>
              <w:spacing w:before="75" w:beforeAutospacing="0" w:after="75" w:afterAutospacing="0" w:line="276" w:lineRule="auto"/>
              <w:jc w:val="center"/>
              <w:rPr>
                <w:rFonts w:hint="eastAsia" w:hAnsi="宋体" w:cs="宋体"/>
                <w:color w:val="auto"/>
                <w:sz w:val="21"/>
                <w:szCs w:val="21"/>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填写项目名称、填报人、部位、质量问题、整改内容、现场图片、指派人员、指派时间、整改要求时间、当前日期、整改情况反馈等</w:t>
            </w:r>
          </w:p>
          <w:p>
            <w:pPr>
              <w:pStyle w:val="12"/>
              <w:wordWrap w:val="0"/>
              <w:spacing w:before="75" w:beforeAutospacing="0" w:after="75" w:afterAutospacing="0" w:line="276" w:lineRule="auto"/>
              <w:rPr>
                <w:rFonts w:hint="eastAsia"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hAnsi="宋体" w:cs="宋体"/>
                <w:color w:val="auto"/>
                <w:sz w:val="21"/>
                <w:szCs w:val="21"/>
                <w:highlight w:val="none"/>
              </w:rPr>
              <w:t>质量整改查询</w:t>
            </w:r>
          </w:p>
          <w:p>
            <w:pPr>
              <w:pStyle w:val="12"/>
              <w:wordWrap w:val="0"/>
              <w:spacing w:before="75" w:beforeAutospacing="0" w:after="75" w:afterAutospacing="0" w:line="276" w:lineRule="auto"/>
              <w:jc w:val="center"/>
              <w:rPr>
                <w:rFonts w:hint="eastAsia" w:hAnsi="宋体" w:cs="宋体"/>
                <w:color w:val="auto"/>
                <w:sz w:val="21"/>
                <w:szCs w:val="21"/>
                <w:highlight w:val="none"/>
              </w:rPr>
            </w:pP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hAnsi="宋体" w:cs="宋体"/>
                <w:color w:val="auto"/>
                <w:sz w:val="21"/>
                <w:szCs w:val="21"/>
                <w:highlight w:val="none"/>
              </w:rPr>
              <w:t>可根据项目名称、部位、填报人、指派人、起止时间查询质量整改记录。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336"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bCs/>
                <w:color w:val="auto"/>
                <w:highlight w:val="none"/>
              </w:rPr>
              <w:t>分部验收</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ascii="Calibri" w:hAnsi="Calibri" w:cs="Calibri"/>
                <w:bCs/>
                <w:color w:val="auto"/>
                <w:highlight w:val="none"/>
              </w:rPr>
              <w:t>①</w:t>
            </w:r>
            <w:r>
              <w:rPr>
                <w:rFonts w:hint="eastAsia"/>
                <w:bCs/>
                <w:color w:val="auto"/>
                <w:highlight w:val="none"/>
              </w:rPr>
              <w:t>、项目部组织分部单位自验表；</w:t>
            </w:r>
            <w:r>
              <w:rPr>
                <w:rFonts w:ascii="Calibri" w:hAnsi="Calibri" w:cs="Calibri"/>
                <w:bCs/>
                <w:color w:val="auto"/>
                <w:highlight w:val="none"/>
              </w:rPr>
              <w:t>②</w:t>
            </w:r>
            <w:r>
              <w:rPr>
                <w:rFonts w:hint="eastAsia"/>
                <w:bCs/>
                <w:color w:val="auto"/>
                <w:highlight w:val="none"/>
              </w:rPr>
              <w:t>、项目部质量瑕疵整改表；</w:t>
            </w:r>
            <w:r>
              <w:rPr>
                <w:rFonts w:ascii="Calibri" w:hAnsi="Calibri" w:cs="Calibri"/>
                <w:bCs/>
                <w:color w:val="auto"/>
                <w:highlight w:val="none"/>
              </w:rPr>
              <w:t>③</w:t>
            </w:r>
            <w:r>
              <w:rPr>
                <w:rFonts w:hint="eastAsia"/>
                <w:bCs/>
                <w:color w:val="auto"/>
                <w:highlight w:val="none"/>
              </w:rPr>
              <w:t>公司验收表；（4）、公司质量瑕疵整改表；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336" w:type="dxa"/>
            <w:vMerge w:val="restart"/>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hAnsi="宋体" w:cs="宋体"/>
                <w:b/>
                <w:bCs/>
                <w:color w:val="auto"/>
                <w:sz w:val="21"/>
                <w:szCs w:val="21"/>
                <w:highlight w:val="none"/>
              </w:rPr>
              <w:t>安全管理</w:t>
            </w: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安全日志</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填写填写人、项目名称、出勤人数、部门、温度、日期、施工部位、当前施工安全情况、安全教育情况、安全交底、验收情况记录、安全检查情况、安全会议记录、其他等安全日志查询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可根据项目名称、填报人、部门、起止时间查询项目安全日志。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b/>
                <w:bCs/>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质量安全事故</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Ansi="宋体" w:cs="宋体"/>
                <w:color w:val="auto"/>
                <w:sz w:val="21"/>
                <w:szCs w:val="21"/>
                <w:highlight w:val="none"/>
              </w:rPr>
              <w:t>①</w:t>
            </w:r>
            <w:r>
              <w:rPr>
                <w:rFonts w:hint="eastAsia" w:hAnsi="宋体" w:cs="宋体"/>
                <w:color w:val="auto"/>
                <w:sz w:val="21"/>
                <w:szCs w:val="21"/>
                <w:highlight w:val="none"/>
              </w:rPr>
              <w:t>、项目部编写事故报告；</w:t>
            </w:r>
            <w:r>
              <w:rPr>
                <w:rFonts w:hAnsi="宋体" w:cs="宋体"/>
                <w:color w:val="auto"/>
                <w:sz w:val="21"/>
                <w:szCs w:val="21"/>
                <w:highlight w:val="none"/>
              </w:rPr>
              <w:t>②</w:t>
            </w:r>
            <w:r>
              <w:rPr>
                <w:rFonts w:hint="eastAsia" w:hAnsi="宋体" w:cs="宋体"/>
                <w:color w:val="auto"/>
                <w:sz w:val="21"/>
                <w:szCs w:val="21"/>
                <w:highlight w:val="none"/>
              </w:rPr>
              <w:t>、质安科编写事故调查报告；</w:t>
            </w:r>
            <w:r>
              <w:rPr>
                <w:rFonts w:hAnsi="宋体" w:cs="宋体"/>
                <w:color w:val="auto"/>
                <w:sz w:val="21"/>
                <w:szCs w:val="21"/>
                <w:highlight w:val="none"/>
              </w:rPr>
              <w:t>③</w:t>
            </w:r>
            <w:r>
              <w:rPr>
                <w:rFonts w:hint="eastAsia" w:hAnsi="宋体" w:cs="宋体"/>
                <w:color w:val="auto"/>
                <w:sz w:val="21"/>
                <w:szCs w:val="21"/>
                <w:highlight w:val="none"/>
              </w:rPr>
              <w:t>、事故统计表（台账）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r>
              <w:rPr>
                <w:rFonts w:hint="eastAsia" w:hAnsi="宋体" w:cs="宋体"/>
                <w:color w:val="auto"/>
                <w:highlight w:val="none"/>
              </w:rPr>
              <w:t>安全检查记录及整改</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r>
              <w:rPr>
                <w:rFonts w:hint="eastAsia" w:hAnsi="宋体" w:cs="宋体"/>
                <w:color w:val="auto"/>
                <w:highlight w:val="none"/>
              </w:rPr>
              <w:t>填写项目名称、工程规模、检查日期、形象进度、检查人、日期、基本情况、现场检查情况、处理要求及措施、复查情况等</w:t>
            </w:r>
          </w:p>
          <w:p>
            <w:pPr>
              <w:pStyle w:val="12"/>
              <w:wordWrap w:val="0"/>
              <w:spacing w:before="75" w:beforeAutospacing="0" w:after="75" w:afterAutospacing="0" w:line="276" w:lineRule="auto"/>
              <w:rPr>
                <w:rFonts w:hint="eastAsia" w:hAnsi="宋体" w:cs="宋体"/>
                <w:color w:val="auto"/>
                <w:highlight w:val="none"/>
              </w:rPr>
            </w:pPr>
            <w:r>
              <w:rPr>
                <w:rFonts w:hint="eastAsia" w:hAnsi="宋体" w:cs="宋体"/>
                <w:color w:val="auto"/>
                <w:highlight w:val="none"/>
              </w:rPr>
              <w:t>安全整改查询</w:t>
            </w:r>
          </w:p>
          <w:p>
            <w:pPr>
              <w:pStyle w:val="12"/>
              <w:wordWrap w:val="0"/>
              <w:spacing w:before="75" w:beforeAutospacing="0" w:after="75" w:afterAutospacing="0" w:line="276" w:lineRule="auto"/>
              <w:rPr>
                <w:rFonts w:hint="eastAsia" w:hAnsi="宋体" w:cs="宋体"/>
                <w:color w:val="auto"/>
                <w:highlight w:val="none"/>
              </w:rPr>
            </w:pPr>
            <w:r>
              <w:rPr>
                <w:rFonts w:hint="eastAsia" w:hAnsi="宋体" w:cs="宋体"/>
                <w:color w:val="auto"/>
                <w:highlight w:val="none"/>
              </w:rPr>
              <w:t>可根据项目名称、检查人、起止时间查询安全整改记录</w:t>
            </w:r>
          </w:p>
          <w:p>
            <w:pPr>
              <w:pStyle w:val="12"/>
              <w:wordWrap w:val="0"/>
              <w:spacing w:before="75" w:beforeAutospacing="0" w:after="75" w:afterAutospacing="0" w:line="276" w:lineRule="auto"/>
              <w:rPr>
                <w:rFonts w:hint="eastAsia" w:hAnsi="宋体" w:cs="宋体"/>
                <w:color w:val="auto"/>
                <w:sz w:val="21"/>
                <w:szCs w:val="21"/>
                <w:highlight w:val="none"/>
              </w:rPr>
            </w:pPr>
            <w:r>
              <w:rPr>
                <w:rFonts w:ascii="Calibri" w:hAnsi="Calibri" w:cs="Calibri"/>
                <w:bCs/>
                <w:color w:val="auto"/>
                <w:highlight w:val="none"/>
              </w:rPr>
              <w:t>①</w:t>
            </w:r>
            <w:r>
              <w:rPr>
                <w:rFonts w:hint="eastAsia"/>
                <w:bCs/>
                <w:color w:val="auto"/>
                <w:highlight w:val="none"/>
              </w:rPr>
              <w:t>、项目部组织分部单位自验表；</w:t>
            </w:r>
            <w:r>
              <w:rPr>
                <w:rFonts w:ascii="Calibri" w:hAnsi="Calibri" w:cs="Calibri"/>
                <w:bCs/>
                <w:color w:val="auto"/>
                <w:highlight w:val="none"/>
              </w:rPr>
              <w:t>②</w:t>
            </w:r>
            <w:r>
              <w:rPr>
                <w:rFonts w:hint="eastAsia"/>
                <w:bCs/>
                <w:color w:val="auto"/>
                <w:highlight w:val="none"/>
              </w:rPr>
              <w:t>、项目部质量瑕疵整改表；</w:t>
            </w:r>
            <w:r>
              <w:rPr>
                <w:rFonts w:ascii="Calibri" w:hAnsi="Calibri" w:cs="Calibri"/>
                <w:bCs/>
                <w:color w:val="auto"/>
                <w:highlight w:val="none"/>
              </w:rPr>
              <w:t>③</w:t>
            </w:r>
            <w:r>
              <w:rPr>
                <w:rFonts w:hint="eastAsia"/>
                <w:bCs/>
                <w:color w:val="auto"/>
                <w:highlight w:val="none"/>
              </w:rPr>
              <w:t>公司验收表；（4）、公司质量瑕疵整改表；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336" w:type="dxa"/>
            <w:vMerge w:val="restart"/>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hAnsi="宋体" w:cs="宋体"/>
                <w:b/>
                <w:bCs/>
                <w:color w:val="auto"/>
                <w:sz w:val="21"/>
                <w:szCs w:val="21"/>
                <w:highlight w:val="none"/>
              </w:rPr>
              <w:t>施工过程管理</w:t>
            </w: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施工日志</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填写项目名称、填报人、日期、上午天气、下午天气、最高气温、最低气温、现场图片、施工班组、工作人数、施工内容、施工进展、施工有关的主要工作等</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施工日志查询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可以按照项目名称、填报人、起止时间查询项目施工日志。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r>
              <w:rPr>
                <w:rFonts w:hint="eastAsia" w:hAnsi="宋体" w:cs="宋体"/>
                <w:color w:val="auto"/>
                <w:sz w:val="21"/>
                <w:szCs w:val="21"/>
                <w:highlight w:val="none"/>
              </w:rPr>
              <w:t>设计变更</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填写设计变更名称、填报人、日期、项目名称、所属合同、变更金额、提出变更单位、原图纸及相关附件资料、变更后图纸及相关附件、变更原因、变更内容等</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设计变更查询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可根据项目名称、合同名称、提出变更单位、起止时间查询项目设计变更记录。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技术交底</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填写技术交底名称、项目名称、施工单位、填报人、日期、交底地点、被交底单位、交底人、被交底人、交底内容等</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技术交底查询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可根据项目名称、填报人、起止时间查询项目技术交底记录。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施工组织方案</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填写方案名称、填报人、日期、项目名称、方案说明等</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施工组织方案查询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可根据项目名称、填报人、起止时间查询项目施工组织方案。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336" w:type="dxa"/>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hAnsi="宋体" w:cs="宋体"/>
                <w:b/>
                <w:bCs/>
                <w:color w:val="auto"/>
                <w:sz w:val="21"/>
                <w:szCs w:val="21"/>
                <w:highlight w:val="none"/>
              </w:rPr>
              <w:t>资料管理</w:t>
            </w: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xml:space="preserve">资料类型 </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xml:space="preserve">资料分类 </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xml:space="preserve">资料目录 </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xml:space="preserve">保管位置 </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xml:space="preserve">档案盒 </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xml:space="preserve">归档计划 </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电子资料归档</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对工程项目中的图纸、合同、合格证等各种纸质资料，以及现场照片、监控录像等电子资料实现科学、规范的管理。</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海量化档案库：实现电子档案和资料的海量化存贮</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规范化业务流程：资料归档流程，实体资料的借阅与归还，应归还资料预期提醒</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归档计划与归档核查：保证应归档资料不会缺失</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方便快捷的检索与查询：档案和资料的在线检索和查询，档案目录的检索和查询，电子资料的在线下载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336" w:type="dxa"/>
            <w:vMerge w:val="restart"/>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hAnsi="宋体" w:cs="宋体"/>
                <w:b/>
                <w:bCs/>
                <w:color w:val="auto"/>
                <w:sz w:val="21"/>
                <w:szCs w:val="21"/>
                <w:highlight w:val="none"/>
              </w:rPr>
              <w:t>发票管理</w:t>
            </w: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开票登记</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填写发票类型、发票金额、纳税人识别号、项目名称、收款单位、付款单位、组织机构代码证号码、发票号码、填报人、日期、开户行及账号等</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开票查询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可根据项目名称、收款单位、付款单位、录入人、起止时间查询项目开票记录。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r>
              <w:rPr>
                <w:rFonts w:hint="eastAsia" w:hAnsi="宋体" w:cs="宋体"/>
                <w:color w:val="auto"/>
                <w:sz w:val="21"/>
                <w:szCs w:val="21"/>
                <w:highlight w:val="none"/>
              </w:rPr>
              <w:t>收票登记</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填写开票类型、发票金额、纳税人识别号、项目名称、收款单位、付款单位、组织结构代码证号码、发票号码、填报人、日期、开户银行及账号等</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收票查询</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可根据项目名称、票据类型、发票类型、收款单位、付款单位、录入人、起止时间查询收到供应商发票记录。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1336" w:type="dxa"/>
            <w:vMerge w:val="restart"/>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hAnsi="宋体" w:cs="宋体"/>
                <w:b/>
                <w:bCs/>
                <w:color w:val="auto"/>
                <w:sz w:val="21"/>
                <w:szCs w:val="21"/>
                <w:highlight w:val="none"/>
              </w:rPr>
              <w:t>基础信息</w:t>
            </w: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供应商</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供应商基本信息资料的录入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highlight w:val="none"/>
              </w:rPr>
            </w:pPr>
            <w:r>
              <w:rPr>
                <w:rFonts w:hint="eastAsia" w:hAnsi="宋体" w:cs="宋体"/>
                <w:color w:val="auto"/>
                <w:sz w:val="21"/>
                <w:szCs w:val="21"/>
                <w:highlight w:val="none"/>
              </w:rPr>
              <w:t>供应商权限管理</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供应商可以被选择的权限开放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材料基础库</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根据建筑单位的材料类型划分对应录入材料基础信息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材料类型</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建筑单位材料的分类建立，例如：主材、辅材、机械等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jc w:val="center"/>
        </w:trPr>
        <w:tc>
          <w:tcPr>
            <w:tcW w:w="1336" w:type="dxa"/>
            <w:vMerge w:val="restart"/>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b/>
                <w:bCs/>
                <w:color w:val="auto"/>
                <w:sz w:val="21"/>
                <w:szCs w:val="21"/>
                <w:highlight w:val="none"/>
              </w:rPr>
            </w:pPr>
            <w:r>
              <w:rPr>
                <w:rFonts w:hint="eastAsia" w:hAnsi="宋体" w:cs="宋体"/>
                <w:b/>
                <w:bCs/>
                <w:color w:val="auto"/>
                <w:sz w:val="21"/>
                <w:szCs w:val="21"/>
                <w:highlight w:val="none"/>
              </w:rPr>
              <w:t>农民工工资发放</w:t>
            </w: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农民工信息</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导入添加农民工信息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b/>
                <w:bCs/>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工资发放</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每月导入农民工工资信息，后台按照流程审批，按时发放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336" w:type="dxa"/>
            <w:vMerge w:val="restart"/>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b/>
                <w:bCs/>
                <w:color w:val="auto"/>
                <w:sz w:val="21"/>
                <w:szCs w:val="21"/>
                <w:highlight w:val="none"/>
              </w:rPr>
            </w:pPr>
            <w:r>
              <w:rPr>
                <w:rFonts w:hint="eastAsia" w:hAnsi="宋体" w:cs="宋体"/>
                <w:b/>
                <w:bCs/>
                <w:color w:val="auto"/>
                <w:sz w:val="21"/>
                <w:szCs w:val="21"/>
                <w:highlight w:val="none"/>
              </w:rPr>
              <w:t>智能建模</w:t>
            </w:r>
          </w:p>
        </w:tc>
        <w:tc>
          <w:tcPr>
            <w:tcW w:w="7223" w:type="dxa"/>
            <w:gridSpan w:val="3"/>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对系统中的表单、列表、报表、菜单进行自定义设置。除了基本的显示样式设置外，还包括一些特殊的设置，将表单、列表、报表在手机端进行显示，需要在此模块下进行设置。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b/>
                <w:bCs/>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表单管理</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主要是对表单进行新增、修改、表单样式设计、表单复制的操作，可以自定义表单中的显示字段。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b/>
                <w:bCs/>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列表管理</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包括整个系统的列表新建、编辑、查询管理，在列表管理中主要是对列表数据来源、显示字段、数据联查设置、查询字段、单元格样式、行样式等进行设置。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b/>
                <w:bCs/>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报表管理</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同列表管理的功能、设置方式一样，只不过报表界面是没有新增、修改、删除三个按钮。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336" w:type="dxa"/>
            <w:vMerge w:val="continue"/>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cs="宋体"/>
                <w:b/>
                <w:bCs/>
                <w:color w:val="auto"/>
                <w:sz w:val="21"/>
                <w:szCs w:val="21"/>
                <w:highlight w:val="none"/>
              </w:rPr>
            </w:pP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菜单管理</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对所有模块菜单的名称、排序、图标样式、上级菜单、隐藏/启用进行设置。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336" w:type="dxa"/>
            <w:noWrap w:val="0"/>
            <w:tcMar>
              <w:top w:w="75" w:type="dxa"/>
              <w:left w:w="180" w:type="dxa"/>
              <w:bottom w:w="75" w:type="dxa"/>
              <w:right w:w="240" w:type="dxa"/>
            </w:tcMar>
            <w:vAlign w:val="center"/>
          </w:tcPr>
          <w:p>
            <w:pPr>
              <w:pStyle w:val="12"/>
              <w:wordWrap w:val="0"/>
              <w:spacing w:before="75" w:beforeAutospacing="0" w:after="75" w:afterAutospacing="0" w:line="276" w:lineRule="auto"/>
              <w:jc w:val="center"/>
              <w:rPr>
                <w:rFonts w:hint="eastAsia" w:hAnsi="宋体" w:eastAsia="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督查管理</w:t>
            </w:r>
          </w:p>
        </w:tc>
        <w:tc>
          <w:tcPr>
            <w:tcW w:w="1649" w:type="dxa"/>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项目督查</w:t>
            </w:r>
          </w:p>
        </w:tc>
        <w:tc>
          <w:tcPr>
            <w:tcW w:w="5574" w:type="dxa"/>
            <w:gridSpan w:val="2"/>
            <w:noWrap w:val="0"/>
            <w:tcMar>
              <w:top w:w="75" w:type="dxa"/>
              <w:left w:w="180" w:type="dxa"/>
              <w:bottom w:w="75" w:type="dxa"/>
              <w:right w:w="240" w:type="dxa"/>
            </w:tcMar>
            <w:vAlign w:val="center"/>
          </w:tcPr>
          <w:p>
            <w:pPr>
              <w:pStyle w:val="12"/>
              <w:wordWrap w:val="0"/>
              <w:spacing w:before="75" w:beforeAutospacing="0" w:after="75" w:afterAutospacing="0" w:line="276" w:lineRule="auto"/>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①检查记录表和周报；②违规违纪调查报告；③处罚通知单；④台账</w:t>
            </w:r>
          </w:p>
        </w:tc>
      </w:tr>
    </w:tbl>
    <w:p>
      <w:pPr>
        <w:pStyle w:val="8"/>
        <w:spacing w:line="480" w:lineRule="auto"/>
        <w:rPr>
          <w:rFonts w:hint="eastAsia" w:hAnsi="宋体" w:cs="宋体"/>
          <w:color w:val="auto"/>
          <w:sz w:val="24"/>
          <w:highlight w:val="none"/>
        </w:rPr>
      </w:pPr>
      <w:r>
        <w:rPr>
          <w:rFonts w:hint="eastAsia" w:hAnsi="宋体" w:cs="宋体"/>
          <w:color w:val="auto"/>
          <w:sz w:val="24"/>
          <w:highlight w:val="none"/>
        </w:rPr>
        <w:t>③OA办公管理系统</w:t>
      </w:r>
    </w:p>
    <w:tbl>
      <w:tblPr>
        <w:tblStyle w:val="15"/>
        <w:tblpPr w:leftFromText="180" w:rightFromText="180" w:vertAnchor="text" w:horzAnchor="page" w:tblpX="1753" w:tblpY="655"/>
        <w:tblOverlap w:val="never"/>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586"/>
        <w:gridCol w:w="5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75" w:type="dxa"/>
            <w:noWrap w:val="0"/>
            <w:vAlign w:val="top"/>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功能模块</w:t>
            </w:r>
          </w:p>
        </w:tc>
        <w:tc>
          <w:tcPr>
            <w:tcW w:w="7212" w:type="dxa"/>
            <w:gridSpan w:val="2"/>
            <w:noWrap w:val="0"/>
            <w:vAlign w:val="top"/>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功能明细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5"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个人</w:t>
            </w:r>
          </w:p>
        </w:tc>
        <w:tc>
          <w:tcPr>
            <w:tcW w:w="7212" w:type="dxa"/>
            <w:gridSpan w:val="2"/>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流程发起、待办流程、我的申请、待办任务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5"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行政管理</w:t>
            </w:r>
          </w:p>
        </w:tc>
        <w:tc>
          <w:tcPr>
            <w:tcW w:w="7212" w:type="dxa"/>
            <w:gridSpan w:val="2"/>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新闻通知：通知公告、会议纪要上传记录、图片新闻、行业新闻</w:t>
            </w:r>
          </w:p>
          <w:p>
            <w:pPr>
              <w:pStyle w:val="12"/>
              <w:wordWrap w:val="0"/>
              <w:spacing w:before="75" w:beforeAutospacing="0" w:after="75" w:afterAutospacing="0" w:line="276" w:lineRule="auto"/>
              <w:ind w:firstLine="400"/>
              <w:rPr>
                <w:rFonts w:hint="eastAsia" w:hAnsi="宋体" w:cs="宋体"/>
                <w:color w:val="auto"/>
                <w:sz w:val="20"/>
                <w:szCs w:val="20"/>
                <w:highlight w:val="none"/>
              </w:rPr>
            </w:pPr>
            <w:r>
              <w:rPr>
                <w:rFonts w:hint="eastAsia" w:hAnsi="宋体" w:cs="宋体"/>
                <w:color w:val="auto"/>
                <w:sz w:val="20"/>
                <w:szCs w:val="20"/>
                <w:highlight w:val="none"/>
              </w:rPr>
              <w:t>知识管理：产品知识、技术知识、质量知识、营销知识、管理知识、培训资料</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企业文化：优秀员工、员工情怀、规章制度、大事记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375" w:type="dxa"/>
            <w:vMerge w:val="restart"/>
            <w:noWrap w:val="0"/>
            <w:vAlign w:val="center"/>
          </w:tcPr>
          <w:p>
            <w:pPr>
              <w:ind w:firstLine="422" w:firstLineChars="200"/>
              <w:jc w:val="center"/>
              <w:rPr>
                <w:rFonts w:hint="eastAsia" w:ascii="宋体" w:hAnsi="宋体" w:eastAsia="宋体" w:cs="宋体"/>
                <w:b/>
                <w:color w:val="auto"/>
                <w:szCs w:val="21"/>
                <w:highlight w:val="none"/>
              </w:rPr>
            </w:pPr>
          </w:p>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流程配置</w:t>
            </w:r>
          </w:p>
        </w:tc>
        <w:tc>
          <w:tcPr>
            <w:tcW w:w="7212" w:type="dxa"/>
            <w:gridSpan w:val="2"/>
            <w:noWrap w:val="0"/>
            <w:vAlign w:val="top"/>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流程审批：流程发起、待办流程、已办流程、我的申请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375" w:type="dxa"/>
            <w:vMerge w:val="continue"/>
            <w:noWrap w:val="0"/>
            <w:vAlign w:val="center"/>
          </w:tcPr>
          <w:p>
            <w:pPr>
              <w:ind w:firstLine="422" w:firstLineChars="200"/>
              <w:jc w:val="center"/>
              <w:rPr>
                <w:rFonts w:hint="eastAsia" w:ascii="宋体" w:hAnsi="宋体" w:eastAsia="宋体" w:cs="宋体"/>
                <w:b/>
                <w:color w:val="auto"/>
                <w:szCs w:val="21"/>
                <w:highlight w:val="none"/>
              </w:rPr>
            </w:pPr>
          </w:p>
        </w:tc>
        <w:tc>
          <w:tcPr>
            <w:tcW w:w="7212" w:type="dxa"/>
            <w:gridSpan w:val="2"/>
            <w:noWrap w:val="0"/>
            <w:vAlign w:val="top"/>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流程委托、流程监控、流程移交、流程统计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75" w:type="dxa"/>
            <w:vMerge w:val="continue"/>
            <w:noWrap w:val="0"/>
            <w:vAlign w:val="center"/>
          </w:tcPr>
          <w:p>
            <w:pPr>
              <w:ind w:firstLine="422" w:firstLineChars="200"/>
              <w:jc w:val="center"/>
              <w:rPr>
                <w:rFonts w:hint="eastAsia" w:ascii="宋体" w:hAnsi="宋体" w:eastAsia="宋体" w:cs="宋体"/>
                <w:b/>
                <w:color w:val="auto"/>
                <w:szCs w:val="21"/>
                <w:highlight w:val="none"/>
              </w:rPr>
            </w:pPr>
          </w:p>
        </w:tc>
        <w:tc>
          <w:tcPr>
            <w:tcW w:w="7212" w:type="dxa"/>
            <w:gridSpan w:val="2"/>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流程设置：流程设置、表单定义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75" w:type="dxa"/>
            <w:vMerge w:val="continue"/>
            <w:noWrap w:val="0"/>
            <w:vAlign w:val="center"/>
          </w:tcPr>
          <w:p>
            <w:pPr>
              <w:ind w:firstLine="422" w:firstLineChars="200"/>
              <w:jc w:val="center"/>
              <w:rPr>
                <w:rFonts w:hint="eastAsia" w:ascii="宋体" w:hAnsi="宋体" w:eastAsia="宋体" w:cs="宋体"/>
                <w:b/>
                <w:color w:val="auto"/>
                <w:szCs w:val="21"/>
                <w:highlight w:val="none"/>
              </w:rPr>
            </w:pPr>
          </w:p>
        </w:tc>
        <w:tc>
          <w:tcPr>
            <w:tcW w:w="7212" w:type="dxa"/>
            <w:gridSpan w:val="2"/>
            <w:noWrap w:val="0"/>
            <w:vAlign w:val="top"/>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流程审批：流程发起、待办流程、已办流程、我的申请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75"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文档中心</w:t>
            </w:r>
          </w:p>
        </w:tc>
        <w:tc>
          <w:tcPr>
            <w:tcW w:w="7212" w:type="dxa"/>
            <w:gridSpan w:val="2"/>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文档资料目录管理、上传文件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75"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人事档案</w:t>
            </w:r>
          </w:p>
        </w:tc>
        <w:tc>
          <w:tcPr>
            <w:tcW w:w="7212" w:type="dxa"/>
            <w:gridSpan w:val="2"/>
            <w:noWrap w:val="0"/>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组织机构：组织管理、菜单角色、职位管理、部门职位、架构一览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75"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人事管理</w:t>
            </w:r>
          </w:p>
        </w:tc>
        <w:tc>
          <w:tcPr>
            <w:tcW w:w="7212" w:type="dxa"/>
            <w:gridSpan w:val="2"/>
            <w:noWrap w:val="0"/>
            <w:vAlign w:val="center"/>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人事档案、合同管理、转正管理、离职管理、人事调动、奖惩管理、员工关怀、证件管理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375"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系统管理</w:t>
            </w:r>
          </w:p>
        </w:tc>
        <w:tc>
          <w:tcPr>
            <w:tcW w:w="7212" w:type="dxa"/>
            <w:gridSpan w:val="2"/>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组织架构、职位管理、菜单角色、菜单设置、首页管理、日志查询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75"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门户管理</w:t>
            </w:r>
          </w:p>
        </w:tc>
        <w:tc>
          <w:tcPr>
            <w:tcW w:w="7212" w:type="dxa"/>
            <w:gridSpan w:val="2"/>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门户定义、制度推送、资料推送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75" w:type="dxa"/>
            <w:vMerge w:val="restart"/>
            <w:noWrap w:val="0"/>
            <w:vAlign w:val="center"/>
          </w:tcPr>
          <w:p>
            <w:pPr>
              <w:jc w:val="center"/>
              <w:rPr>
                <w:rFonts w:hint="eastAsia" w:ascii="宋体" w:hAnsi="宋体" w:eastAsia="宋体" w:cs="宋体"/>
                <w:b/>
                <w:color w:val="auto"/>
                <w:szCs w:val="21"/>
                <w:highlight w:val="none"/>
              </w:rPr>
            </w:pPr>
          </w:p>
          <w:p>
            <w:pPr>
              <w:jc w:val="center"/>
              <w:rPr>
                <w:rFonts w:hint="eastAsia" w:ascii="宋体" w:hAnsi="宋体" w:eastAsia="宋体" w:cs="宋体"/>
                <w:b/>
                <w:color w:val="auto"/>
                <w:szCs w:val="21"/>
                <w:highlight w:val="none"/>
              </w:rPr>
            </w:pPr>
          </w:p>
          <w:p>
            <w:pPr>
              <w:jc w:val="center"/>
              <w:rPr>
                <w:rFonts w:hint="eastAsia" w:ascii="宋体" w:hAnsi="宋体" w:eastAsia="宋体" w:cs="宋体"/>
                <w:b/>
                <w:color w:val="auto"/>
                <w:szCs w:val="21"/>
                <w:highlight w:val="none"/>
              </w:rPr>
            </w:pPr>
          </w:p>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手机APP</w:t>
            </w:r>
          </w:p>
          <w:p>
            <w:pPr>
              <w:pStyle w:val="2"/>
              <w:jc w:val="center"/>
              <w:rPr>
                <w:rFonts w:hint="eastAsia"/>
                <w:color w:val="auto"/>
                <w:highlight w:val="none"/>
              </w:rPr>
            </w:pPr>
            <w:r>
              <w:rPr>
                <w:rFonts w:hint="eastAsia"/>
                <w:color w:val="auto"/>
                <w:highlight w:val="none"/>
              </w:rPr>
              <w:t>安卓版本</w:t>
            </w:r>
          </w:p>
          <w:p>
            <w:pPr>
              <w:pStyle w:val="2"/>
              <w:jc w:val="center"/>
              <w:rPr>
                <w:rFonts w:hint="eastAsia"/>
                <w:color w:val="auto"/>
                <w:highlight w:val="none"/>
              </w:rPr>
            </w:pPr>
            <w:r>
              <w:rPr>
                <w:rFonts w:hint="eastAsia"/>
                <w:color w:val="auto"/>
                <w:highlight w:val="none"/>
              </w:rPr>
              <w:t>苹果版本</w:t>
            </w:r>
          </w:p>
        </w:tc>
        <w:tc>
          <w:tcPr>
            <w:tcW w:w="7212" w:type="dxa"/>
            <w:gridSpan w:val="2"/>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常用当中主要包含OA部分的流程管理、新闻、通知公告、文档中心、报告、任务、合同、行政、人事、财务、可将工程管理系统的的项目管理模块加入。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75" w:type="dxa"/>
            <w:vMerge w:val="continue"/>
            <w:noWrap w:val="0"/>
            <w:vAlign w:val="center"/>
          </w:tcPr>
          <w:p>
            <w:pPr>
              <w:pStyle w:val="12"/>
              <w:wordWrap w:val="0"/>
              <w:spacing w:before="75" w:beforeAutospacing="0" w:after="75" w:afterAutospacing="0" w:line="276" w:lineRule="auto"/>
              <w:rPr>
                <w:rFonts w:hint="eastAsia" w:hAnsi="宋体" w:cs="宋体"/>
                <w:color w:val="auto"/>
                <w:highlight w:val="none"/>
              </w:rPr>
            </w:pPr>
          </w:p>
        </w:tc>
        <w:tc>
          <w:tcPr>
            <w:tcW w:w="1586" w:type="dxa"/>
            <w:noWrap w:val="0"/>
            <w:vAlign w:val="top"/>
          </w:tcPr>
          <w:p>
            <w:pPr>
              <w:pStyle w:val="12"/>
              <w:wordWrap w:val="0"/>
              <w:spacing w:before="75" w:beforeAutospacing="0" w:after="75" w:afterAutospacing="0" w:line="276" w:lineRule="auto"/>
              <w:rPr>
                <w:rFonts w:hint="eastAsia" w:hAnsi="宋体" w:cs="宋体"/>
                <w:color w:val="auto"/>
                <w:highlight w:val="none"/>
              </w:rPr>
            </w:pPr>
            <w:r>
              <w:rPr>
                <w:rFonts w:hint="eastAsia" w:hAnsi="宋体" w:cs="宋体"/>
                <w:color w:val="auto"/>
                <w:sz w:val="21"/>
                <w:szCs w:val="21"/>
                <w:highlight w:val="none"/>
              </w:rPr>
              <w:t>流程管理</w:t>
            </w:r>
          </w:p>
        </w:tc>
        <w:tc>
          <w:tcPr>
            <w:tcW w:w="562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主要包含流程发起、我的申请、我的待办、我的已办、我的待阅。该功能方便用户随时随地对流程进行发起、办理，即使身在外地也可以处理公司的事务或者对通过拍照上传附件发起相应的申请报销等。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375" w:type="dxa"/>
            <w:vMerge w:val="continue"/>
            <w:noWrap w:val="0"/>
            <w:vAlign w:val="center"/>
          </w:tcPr>
          <w:p>
            <w:pPr>
              <w:pStyle w:val="12"/>
              <w:wordWrap w:val="0"/>
              <w:spacing w:before="75" w:beforeAutospacing="0" w:after="75" w:afterAutospacing="0" w:line="276" w:lineRule="auto"/>
              <w:rPr>
                <w:rFonts w:hint="eastAsia" w:hAnsi="宋体" w:cs="宋体"/>
                <w:color w:val="auto"/>
                <w:highlight w:val="none"/>
              </w:rPr>
            </w:pPr>
          </w:p>
        </w:tc>
        <w:tc>
          <w:tcPr>
            <w:tcW w:w="1586" w:type="dxa"/>
            <w:noWrap w:val="0"/>
            <w:vAlign w:val="top"/>
          </w:tcPr>
          <w:p>
            <w:pPr>
              <w:pStyle w:val="12"/>
              <w:wordWrap w:val="0"/>
              <w:spacing w:before="75" w:beforeAutospacing="0" w:after="75" w:afterAutospacing="0" w:line="276" w:lineRule="auto"/>
              <w:rPr>
                <w:rFonts w:hint="eastAsia" w:hAnsi="宋体" w:cs="宋体"/>
                <w:color w:val="auto"/>
                <w:highlight w:val="none"/>
              </w:rPr>
            </w:pPr>
            <w:r>
              <w:rPr>
                <w:rFonts w:hint="eastAsia" w:hAnsi="宋体" w:cs="宋体"/>
                <w:color w:val="auto"/>
                <w:sz w:val="21"/>
                <w:szCs w:val="21"/>
                <w:highlight w:val="none"/>
              </w:rPr>
              <w:t>流程发起</w:t>
            </w:r>
          </w:p>
        </w:tc>
        <w:tc>
          <w:tcPr>
            <w:tcW w:w="562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系统默认的公司级流程进行发起操作，比如请假申请等。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75" w:type="dxa"/>
            <w:vMerge w:val="continue"/>
            <w:noWrap w:val="0"/>
            <w:vAlign w:val="center"/>
          </w:tcPr>
          <w:p>
            <w:pPr>
              <w:pStyle w:val="12"/>
              <w:wordWrap w:val="0"/>
              <w:spacing w:before="75" w:beforeAutospacing="0" w:after="75" w:afterAutospacing="0" w:line="276" w:lineRule="auto"/>
              <w:rPr>
                <w:rFonts w:hint="eastAsia" w:hAnsi="宋体" w:cs="宋体"/>
                <w:color w:val="auto"/>
                <w:highlight w:val="none"/>
              </w:rPr>
            </w:pPr>
          </w:p>
        </w:tc>
        <w:tc>
          <w:tcPr>
            <w:tcW w:w="1586" w:type="dxa"/>
            <w:noWrap w:val="0"/>
            <w:vAlign w:val="top"/>
          </w:tcPr>
          <w:p>
            <w:pPr>
              <w:pStyle w:val="12"/>
              <w:wordWrap w:val="0"/>
              <w:spacing w:before="75" w:beforeAutospacing="0" w:after="75" w:afterAutospacing="0" w:line="276" w:lineRule="auto"/>
              <w:rPr>
                <w:rFonts w:hint="eastAsia" w:hAnsi="宋体" w:cs="宋体"/>
                <w:color w:val="auto"/>
                <w:highlight w:val="none"/>
              </w:rPr>
            </w:pPr>
            <w:r>
              <w:rPr>
                <w:rFonts w:hint="eastAsia" w:hAnsi="宋体" w:cs="宋体"/>
                <w:color w:val="auto"/>
                <w:sz w:val="21"/>
                <w:szCs w:val="21"/>
                <w:highlight w:val="none"/>
              </w:rPr>
              <w:t>我的申请：</w:t>
            </w:r>
          </w:p>
        </w:tc>
        <w:tc>
          <w:tcPr>
            <w:tcW w:w="562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将当前账户发起的流程进行统计显示，在此界面可查看所有有关于当前账户的流程申请详细情况，如当前申请的流程在哪个节点审批以及处理人是谁，可对自己的流程了解基本情况。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75" w:type="dxa"/>
            <w:vMerge w:val="continue"/>
            <w:noWrap w:val="0"/>
            <w:vAlign w:val="center"/>
          </w:tcPr>
          <w:p>
            <w:pPr>
              <w:pStyle w:val="12"/>
              <w:wordWrap w:val="0"/>
              <w:spacing w:before="75" w:beforeAutospacing="0" w:after="75" w:afterAutospacing="0" w:line="276" w:lineRule="auto"/>
              <w:rPr>
                <w:rFonts w:hint="eastAsia" w:hAnsi="宋体" w:cs="宋体"/>
                <w:color w:val="auto"/>
                <w:highlight w:val="none"/>
              </w:rPr>
            </w:pPr>
          </w:p>
        </w:tc>
        <w:tc>
          <w:tcPr>
            <w:tcW w:w="158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我的待办</w:t>
            </w:r>
          </w:p>
        </w:tc>
        <w:tc>
          <w:tcPr>
            <w:tcW w:w="562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统计应该由当前账户办理的流程，同时在已经配置好流程的表单当中填写保存后也会自动进入待办当中。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75" w:type="dxa"/>
            <w:vMerge w:val="continue"/>
            <w:noWrap w:val="0"/>
            <w:vAlign w:val="center"/>
          </w:tcPr>
          <w:p>
            <w:pPr>
              <w:pStyle w:val="12"/>
              <w:wordWrap w:val="0"/>
              <w:spacing w:before="75" w:beforeAutospacing="0" w:after="75" w:afterAutospacing="0" w:line="276" w:lineRule="auto"/>
              <w:rPr>
                <w:rFonts w:hint="eastAsia" w:hAnsi="宋体" w:cs="宋体"/>
                <w:color w:val="auto"/>
                <w:highlight w:val="none"/>
              </w:rPr>
            </w:pPr>
          </w:p>
        </w:tc>
        <w:tc>
          <w:tcPr>
            <w:tcW w:w="158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我的已办</w:t>
            </w:r>
          </w:p>
        </w:tc>
        <w:tc>
          <w:tcPr>
            <w:tcW w:w="562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统计当前账户已经办理好的流程，在此界面当中也可查看到该流程的办理状态以及发起该流程的人员信息。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75" w:type="dxa"/>
            <w:vMerge w:val="continue"/>
            <w:noWrap w:val="0"/>
            <w:vAlign w:val="center"/>
          </w:tcPr>
          <w:p>
            <w:pPr>
              <w:pStyle w:val="12"/>
              <w:wordWrap w:val="0"/>
              <w:spacing w:before="75" w:beforeAutospacing="0" w:after="75" w:afterAutospacing="0" w:line="276" w:lineRule="auto"/>
              <w:rPr>
                <w:rFonts w:hint="eastAsia" w:hAnsi="宋体" w:cs="宋体"/>
                <w:color w:val="auto"/>
                <w:highlight w:val="none"/>
              </w:rPr>
            </w:pPr>
          </w:p>
        </w:tc>
        <w:tc>
          <w:tcPr>
            <w:tcW w:w="158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我的待阅</w:t>
            </w:r>
          </w:p>
        </w:tc>
        <w:tc>
          <w:tcPr>
            <w:tcW w:w="562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主要是将别人抄送的流程信息进行知会当前账户，可以看到该知会的流程的具体详细情况。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75" w:type="dxa"/>
            <w:vMerge w:val="continue"/>
            <w:noWrap w:val="0"/>
            <w:vAlign w:val="center"/>
          </w:tcPr>
          <w:p>
            <w:pPr>
              <w:pStyle w:val="12"/>
              <w:wordWrap w:val="0"/>
              <w:spacing w:before="75" w:beforeAutospacing="0" w:after="75" w:afterAutospacing="0" w:line="276" w:lineRule="auto"/>
              <w:rPr>
                <w:rFonts w:hint="eastAsia" w:hAnsi="宋体" w:cs="宋体"/>
                <w:color w:val="auto"/>
                <w:highlight w:val="none"/>
              </w:rPr>
            </w:pPr>
          </w:p>
        </w:tc>
        <w:tc>
          <w:tcPr>
            <w:tcW w:w="158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新闻</w:t>
            </w:r>
          </w:p>
        </w:tc>
        <w:tc>
          <w:tcPr>
            <w:tcW w:w="562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第一时间知晓企业内部当中的新闻信息，如果当新闻有知会给当前账户也会在常用界面的新闻模块提示有新的新闻需要查看。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75" w:type="dxa"/>
            <w:vMerge w:val="continue"/>
            <w:noWrap w:val="0"/>
            <w:vAlign w:val="center"/>
          </w:tcPr>
          <w:p>
            <w:pPr>
              <w:pStyle w:val="12"/>
              <w:wordWrap w:val="0"/>
              <w:spacing w:before="75" w:beforeAutospacing="0" w:after="75" w:afterAutospacing="0" w:line="276" w:lineRule="auto"/>
              <w:rPr>
                <w:rFonts w:hint="eastAsia" w:hAnsi="宋体" w:cs="宋体"/>
                <w:color w:val="auto"/>
                <w:highlight w:val="none"/>
              </w:rPr>
            </w:pPr>
          </w:p>
        </w:tc>
        <w:tc>
          <w:tcPr>
            <w:tcW w:w="158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通知公告</w:t>
            </w:r>
          </w:p>
        </w:tc>
        <w:tc>
          <w:tcPr>
            <w:tcW w:w="562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手机APP通知公告可以实现如QQ微信一般提示新的消息，可实时查看通知公告信息，不会错过遗漏。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75" w:type="dxa"/>
            <w:vMerge w:val="continue"/>
            <w:noWrap w:val="0"/>
            <w:vAlign w:val="center"/>
          </w:tcPr>
          <w:p>
            <w:pPr>
              <w:pStyle w:val="12"/>
              <w:wordWrap w:val="0"/>
              <w:spacing w:before="75" w:beforeAutospacing="0" w:after="75" w:afterAutospacing="0" w:line="276" w:lineRule="auto"/>
              <w:rPr>
                <w:rFonts w:hint="eastAsia" w:hAnsi="宋体" w:cs="宋体"/>
                <w:color w:val="auto"/>
                <w:highlight w:val="none"/>
              </w:rPr>
            </w:pPr>
          </w:p>
        </w:tc>
        <w:tc>
          <w:tcPr>
            <w:tcW w:w="158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文档中心</w:t>
            </w:r>
          </w:p>
        </w:tc>
        <w:tc>
          <w:tcPr>
            <w:tcW w:w="562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该功能模块在主要显示公司知识管理的文档共享，可以下载、在线查阅、在线编辑文档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75" w:type="dxa"/>
            <w:vMerge w:val="continue"/>
            <w:noWrap w:val="0"/>
            <w:vAlign w:val="center"/>
          </w:tcPr>
          <w:p>
            <w:pPr>
              <w:pStyle w:val="12"/>
              <w:wordWrap w:val="0"/>
              <w:spacing w:before="75" w:beforeAutospacing="0" w:after="75" w:afterAutospacing="0" w:line="276" w:lineRule="auto"/>
              <w:rPr>
                <w:rFonts w:hint="eastAsia" w:hAnsi="宋体" w:cs="宋体"/>
                <w:color w:val="auto"/>
                <w:highlight w:val="none"/>
              </w:rPr>
            </w:pPr>
          </w:p>
        </w:tc>
        <w:tc>
          <w:tcPr>
            <w:tcW w:w="158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系统</w:t>
            </w:r>
          </w:p>
        </w:tc>
        <w:tc>
          <w:tcPr>
            <w:tcW w:w="562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主要与PC端系统一致，里面主要包含基础信息，如物资基础库、仓库管理、往来单位、人员档案信息都在此可进行查看操作，也可对基础信息进行录入。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75" w:type="dxa"/>
            <w:vMerge w:val="continue"/>
            <w:noWrap w:val="0"/>
            <w:vAlign w:val="center"/>
          </w:tcPr>
          <w:p>
            <w:pPr>
              <w:pStyle w:val="12"/>
              <w:wordWrap w:val="0"/>
              <w:spacing w:before="75" w:beforeAutospacing="0" w:after="75" w:afterAutospacing="0" w:line="276" w:lineRule="auto"/>
              <w:rPr>
                <w:rFonts w:hint="eastAsia" w:hAnsi="宋体" w:cs="宋体"/>
                <w:color w:val="auto"/>
                <w:highlight w:val="none"/>
              </w:rPr>
            </w:pPr>
          </w:p>
        </w:tc>
        <w:tc>
          <w:tcPr>
            <w:tcW w:w="158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报告管理</w:t>
            </w:r>
          </w:p>
        </w:tc>
        <w:tc>
          <w:tcPr>
            <w:tcW w:w="562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该模块当中主要是显示我的报告和需要待阅批示的报告，发送抄送的相关工作日志周报、月报的报告信息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75" w:type="dxa"/>
            <w:vMerge w:val="continue"/>
            <w:noWrap w:val="0"/>
            <w:vAlign w:val="center"/>
          </w:tcPr>
          <w:p>
            <w:pPr>
              <w:pStyle w:val="12"/>
              <w:wordWrap w:val="0"/>
              <w:spacing w:before="75" w:beforeAutospacing="0" w:after="75" w:afterAutospacing="0" w:line="276" w:lineRule="auto"/>
              <w:rPr>
                <w:rFonts w:hint="eastAsia" w:hAnsi="宋体" w:cs="宋体"/>
                <w:color w:val="auto"/>
                <w:highlight w:val="none"/>
              </w:rPr>
            </w:pPr>
          </w:p>
        </w:tc>
        <w:tc>
          <w:tcPr>
            <w:tcW w:w="158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任务管理</w:t>
            </w:r>
          </w:p>
        </w:tc>
        <w:tc>
          <w:tcPr>
            <w:tcW w:w="562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支持任务事件、任务列表、任务监控、任务统计全面表现任务完成情况。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75" w:type="dxa"/>
            <w:vMerge w:val="continue"/>
            <w:noWrap w:val="0"/>
            <w:vAlign w:val="center"/>
          </w:tcPr>
          <w:p>
            <w:pPr>
              <w:pStyle w:val="12"/>
              <w:wordWrap w:val="0"/>
              <w:spacing w:before="75" w:beforeAutospacing="0" w:after="75" w:afterAutospacing="0" w:line="276" w:lineRule="auto"/>
              <w:rPr>
                <w:rFonts w:hint="eastAsia" w:hAnsi="宋体" w:cs="宋体"/>
                <w:color w:val="auto"/>
                <w:highlight w:val="none"/>
              </w:rPr>
            </w:pPr>
          </w:p>
        </w:tc>
        <w:tc>
          <w:tcPr>
            <w:tcW w:w="158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行政管理</w:t>
            </w:r>
          </w:p>
        </w:tc>
        <w:tc>
          <w:tcPr>
            <w:tcW w:w="562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该模块主要是辅助企业日常办公，包括图书管理、员工去向、企业内部通讯录、投票管理等。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75" w:type="dxa"/>
            <w:vMerge w:val="continue"/>
            <w:noWrap w:val="0"/>
            <w:vAlign w:val="center"/>
          </w:tcPr>
          <w:p>
            <w:pPr>
              <w:pStyle w:val="12"/>
              <w:wordWrap w:val="0"/>
              <w:spacing w:before="75" w:beforeAutospacing="0" w:after="75" w:afterAutospacing="0" w:line="276" w:lineRule="auto"/>
              <w:rPr>
                <w:rFonts w:hint="eastAsia" w:hAnsi="宋体" w:cs="宋体"/>
                <w:color w:val="auto"/>
                <w:highlight w:val="none"/>
              </w:rPr>
            </w:pPr>
          </w:p>
        </w:tc>
        <w:tc>
          <w:tcPr>
            <w:tcW w:w="158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人事管理</w:t>
            </w:r>
          </w:p>
        </w:tc>
        <w:tc>
          <w:tcPr>
            <w:tcW w:w="562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对公司人力资源进行管理操作，记录公司所有员工的动态，提高企业对基础的人事档案的管理能力;主要包括人事合同、人员转正、离职、培训等信息。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75" w:type="dxa"/>
            <w:vMerge w:val="continue"/>
            <w:noWrap w:val="0"/>
            <w:vAlign w:val="center"/>
          </w:tcPr>
          <w:p>
            <w:pPr>
              <w:pStyle w:val="12"/>
              <w:wordWrap w:val="0"/>
              <w:spacing w:before="75" w:beforeAutospacing="0" w:after="75" w:afterAutospacing="0" w:line="276" w:lineRule="auto"/>
              <w:rPr>
                <w:rFonts w:hint="eastAsia" w:hAnsi="宋体" w:cs="宋体"/>
                <w:color w:val="auto"/>
                <w:highlight w:val="none"/>
              </w:rPr>
            </w:pPr>
          </w:p>
        </w:tc>
        <w:tc>
          <w:tcPr>
            <w:tcW w:w="158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财务</w:t>
            </w:r>
          </w:p>
        </w:tc>
        <w:tc>
          <w:tcPr>
            <w:tcW w:w="562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日常办公有序、高效，同时还能对公司企业的财务情况进行管理，如备用金、公司费用报销、建筑工程项目上的收款、以及公司级付款和项目上的付款，都可同时进行管理，同时还支持手机移动端对报表实时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75" w:type="dxa"/>
            <w:vMerge w:val="continue"/>
            <w:noWrap w:val="0"/>
            <w:vAlign w:val="center"/>
          </w:tcPr>
          <w:p>
            <w:pPr>
              <w:pStyle w:val="12"/>
              <w:wordWrap w:val="0"/>
              <w:spacing w:before="75" w:beforeAutospacing="0" w:after="75" w:afterAutospacing="0" w:line="276" w:lineRule="auto"/>
              <w:rPr>
                <w:rFonts w:hint="eastAsia" w:hAnsi="宋体" w:cs="宋体"/>
                <w:color w:val="auto"/>
                <w:highlight w:val="none"/>
              </w:rPr>
            </w:pPr>
          </w:p>
        </w:tc>
        <w:tc>
          <w:tcPr>
            <w:tcW w:w="158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合同</w:t>
            </w:r>
          </w:p>
        </w:tc>
        <w:tc>
          <w:tcPr>
            <w:tcW w:w="562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包含建筑工程行业所需要用到的所有合同情况，比如分包合同、收入合同、材料合同、劳务合同、租赁合同等。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75" w:type="dxa"/>
            <w:vMerge w:val="continue"/>
            <w:noWrap w:val="0"/>
            <w:vAlign w:val="center"/>
          </w:tcPr>
          <w:p>
            <w:pPr>
              <w:pStyle w:val="12"/>
              <w:wordWrap w:val="0"/>
              <w:spacing w:before="75" w:beforeAutospacing="0" w:after="75" w:afterAutospacing="0" w:line="276" w:lineRule="auto"/>
              <w:rPr>
                <w:rFonts w:hint="eastAsia" w:hAnsi="宋体" w:cs="宋体"/>
                <w:color w:val="auto"/>
                <w:highlight w:val="none"/>
              </w:rPr>
            </w:pPr>
          </w:p>
        </w:tc>
        <w:tc>
          <w:tcPr>
            <w:tcW w:w="1586" w:type="dxa"/>
            <w:noWrap w:val="0"/>
            <w:vAlign w:val="center"/>
          </w:tcPr>
          <w:p>
            <w:pPr>
              <w:pStyle w:val="12"/>
              <w:wordWrap w:val="0"/>
              <w:spacing w:before="75" w:beforeAutospacing="0" w:after="75" w:afterAutospacing="0" w:line="276" w:lineRule="auto"/>
              <w:jc w:val="center"/>
              <w:rPr>
                <w:rFonts w:hint="eastAsia" w:hAnsi="宋体" w:cs="宋体"/>
                <w:color w:val="auto"/>
                <w:sz w:val="21"/>
                <w:szCs w:val="21"/>
                <w:highlight w:val="none"/>
              </w:rPr>
            </w:pPr>
            <w:r>
              <w:rPr>
                <w:rFonts w:hint="eastAsia" w:hAnsi="宋体" w:cs="宋体"/>
                <w:color w:val="auto"/>
                <w:sz w:val="21"/>
                <w:szCs w:val="21"/>
                <w:highlight w:val="none"/>
              </w:rPr>
              <w:t>项目管理</w:t>
            </w:r>
          </w:p>
        </w:tc>
        <w:tc>
          <w:tcPr>
            <w:tcW w:w="5626" w:type="dxa"/>
            <w:noWrap w:val="0"/>
            <w:vAlign w:val="top"/>
          </w:tcPr>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包含建筑工程行业当中所有的需要用的模块。如：投标管理、项目立项、收入合同、材料管理、劳务管理、分包管理、租赁管理、质量管理、安全管理、施工过程管理、设备管理、证件管理、进度管理、发票管理、资金计划、成本管理等模块而且可通过这些模块在系统当中随时录入数据以及发起流程申请。</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收入合同：应于完成合同规定的工程形象进度或工程阶段，与发包单位进行工程价款结算时，确认为工程收入的实现，合同收入是指根据合同应收取的对价的总额。此模块当中主要包含收入合同、合同收款、进度款申报、完工结算、收入合同变更签证功能，可以完整的对工程进度款进行管理。</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材料管理：此模块主要的有：材料计划、材料合同、材料入库、材料结算、材料付款、材料出库、材料盘点、材料调拨、库存初期以及材料报表组成。此模块主要是把项目上的材料管理主要分为计划管理、资金管理、现场管理来进行管控。</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计划管理主要是管控材料的使用量，在项目开工前需要定制一个总体的总计划量，计划好的量需要上级相关领导对材料所需总计量进行审批;</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价格的管理控制住量那么成本也相应进行控制，将材料合同信息填写后，由公司审查对价格审查，审查记录保存在系统当中，以便后期查询，供应商结算就来源于现场的材料入库，将现场的材料入库在系统中录入，入库生成了材料结算的依据;</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现场管理主要是由材料出库、调拨、退库、盘点来进行体现。最重要的报表，入库、出库、结余都可以在材料进出库汇总表进行查看。</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以上对材料的管控都可以在手机上直观的进行录入和登记，也可以将现场的实际情况或者录入签字作为依据拍照作为附件上传到系统当中，每个项目都会与之挂靠，形成依据，方便后期对责任的排查或者对成本的控制查看。</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安全管理：此模块当中包含安全日志填报、安全检查记录及整改;安全日志填报主要是由项目部的安全员将每日的安全情况，现场情况教育，施工安全的情况进行记录，包括中间的安全交底，可以通过安全日志记录该项目是否有检查到位，是否遗漏等安全问题;安全检查记录及整改主要是将检查到的情况进行记录并且整改，将整改过程进行有效长期监督，复查情况追踪，如果没有合理那么就会继续整改。</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当天的安全日志情况或者整改情况记录系统并且将图片作为附件及时上传系统当中。</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进度管理：该功能模块主要是记录施工日志、设计变更、技术交底以及施工组织方案和报表查询。该功能模块将工程项目建设各阶段的工作内容、工作程序、持续时间等进度进行记录反馈出在实施过程中经常检查实际进是否按计划要求进行，对出现的偏差情况进行分析，采取补救措施或调整原计划后再付诸实施，如此循环，直到建设工程竣工验收交付使用。</w:t>
            </w:r>
          </w:p>
          <w:p>
            <w:pPr>
              <w:pStyle w:val="12"/>
              <w:wordWrap w:val="0"/>
              <w:spacing w:before="75" w:beforeAutospacing="0" w:after="75" w:afterAutospacing="0" w:line="276" w:lineRule="auto"/>
              <w:rPr>
                <w:rFonts w:hint="eastAsia" w:hAnsi="宋体" w:cs="宋体"/>
                <w:color w:val="auto"/>
                <w:sz w:val="21"/>
                <w:szCs w:val="21"/>
                <w:highlight w:val="none"/>
              </w:rPr>
            </w:pPr>
            <w:r>
              <w:rPr>
                <w:rFonts w:hint="eastAsia" w:hAnsi="宋体" w:cs="宋体"/>
                <w:color w:val="auto"/>
                <w:sz w:val="21"/>
                <w:szCs w:val="21"/>
                <w:highlight w:val="none"/>
              </w:rPr>
              <w:t>　　该功能模块在手机APP当中可将检查或进度进行录入，使公司领导高管可以及时了解工程实际进度，同时也能及时了解工期、施工质量以及甲方监理方对施工整改要求。</w:t>
            </w:r>
          </w:p>
        </w:tc>
      </w:tr>
    </w:tbl>
    <w:p>
      <w:pPr>
        <w:pStyle w:val="23"/>
        <w:ind w:firstLine="0" w:firstLineChars="0"/>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④</w:t>
      </w:r>
      <w:r>
        <w:rPr>
          <w:rFonts w:hint="eastAsia" w:ascii="宋体" w:hAnsi="宋体" w:eastAsia="宋体"/>
          <w:b/>
          <w:bCs/>
          <w:color w:val="auto"/>
          <w:kern w:val="2"/>
          <w:sz w:val="24"/>
          <w:szCs w:val="24"/>
          <w:highlight w:val="none"/>
        </w:rPr>
        <w:t>售后维护</w:t>
      </w:r>
    </w:p>
    <w:p>
      <w:pPr>
        <w:pStyle w:val="23"/>
        <w:ind w:firstLine="420"/>
        <w:rPr>
          <w:rFonts w:hint="eastAsia" w:ascii="宋体" w:hAnsi="宋体" w:eastAsia="宋体"/>
          <w:bCs/>
          <w:color w:val="auto"/>
          <w:sz w:val="24"/>
          <w:szCs w:val="24"/>
          <w:highlight w:val="none"/>
          <w:lang w:eastAsia="zh-CN"/>
        </w:rPr>
      </w:pPr>
      <w:r>
        <w:rPr>
          <w:rFonts w:hint="eastAsia" w:ascii="宋体" w:hAnsi="宋体" w:eastAsia="宋体"/>
          <w:bCs/>
          <w:color w:val="auto"/>
          <w:sz w:val="24"/>
          <w:szCs w:val="24"/>
          <w:highlight w:val="none"/>
        </w:rPr>
        <w:t>提供良好的技术支持及售后服务，组成专门的技术支持与服务中心和队伍来从事此项工作，并提供详细的技术支持计划。承诺提供热线技术支持与售后服务。</w:t>
      </w:r>
    </w:p>
    <w:p>
      <w:pPr>
        <w:pStyle w:val="6"/>
        <w:numPr>
          <w:ilvl w:val="0"/>
          <w:numId w:val="0"/>
        </w:numPr>
        <w:ind w:left="-500" w:leftChars="0"/>
        <w:jc w:val="both"/>
        <w:rPr>
          <w:rFonts w:ascii="宋体" w:hAnsi="宋体" w:eastAsia="宋体"/>
          <w:color w:val="auto"/>
          <w:sz w:val="24"/>
          <w:szCs w:val="24"/>
          <w:highlight w:val="none"/>
        </w:rPr>
      </w:pPr>
      <w:bookmarkStart w:id="0" w:name="_Toc11142737"/>
      <w:bookmarkStart w:id="1" w:name="_Toc2198707"/>
      <w:bookmarkStart w:id="2" w:name="_Toc158522920"/>
      <w:bookmarkStart w:id="3" w:name="_Toc17239"/>
      <w:r>
        <w:rPr>
          <w:rFonts w:hint="eastAsia" w:ascii="宋体" w:hAnsi="宋体" w:eastAsia="宋体"/>
          <w:color w:val="auto"/>
          <w:sz w:val="24"/>
          <w:szCs w:val="24"/>
          <w:highlight w:val="none"/>
        </w:rPr>
        <w:t>4.1</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服务类型</w:t>
      </w:r>
      <w:bookmarkEnd w:id="0"/>
      <w:bookmarkEnd w:id="1"/>
      <w:bookmarkEnd w:id="2"/>
      <w:bookmarkEnd w:id="3"/>
    </w:p>
    <w:p>
      <w:pPr>
        <w:pStyle w:val="23"/>
        <w:ind w:left="0" w:leftChars="0"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lang w:val="en-US" w:eastAsia="zh-CN"/>
        </w:rPr>
        <w:t>（1）</w:t>
      </w:r>
      <w:r>
        <w:rPr>
          <w:rFonts w:hint="eastAsia" w:ascii="宋体" w:hAnsi="宋体" w:eastAsia="宋体"/>
          <w:bCs/>
          <w:color w:val="auto"/>
          <w:sz w:val="24"/>
          <w:szCs w:val="24"/>
          <w:highlight w:val="none"/>
        </w:rPr>
        <w:t>项目安装实施服务。</w:t>
      </w:r>
    </w:p>
    <w:p>
      <w:pPr>
        <w:pStyle w:val="23"/>
        <w:ind w:firstLine="420"/>
        <w:rPr>
          <w:rFonts w:ascii="宋体" w:hAnsi="宋体" w:eastAsia="宋体"/>
          <w:bCs/>
          <w:color w:val="auto"/>
          <w:sz w:val="24"/>
          <w:szCs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lang w:val="en-US" w:eastAsia="zh-CN"/>
        </w:rPr>
        <w:t>2）</w:t>
      </w:r>
      <w:r>
        <w:rPr>
          <w:rFonts w:hint="eastAsia" w:ascii="宋体" w:hAnsi="宋体" w:eastAsia="宋体"/>
          <w:bCs/>
          <w:color w:val="auto"/>
          <w:sz w:val="24"/>
          <w:szCs w:val="24"/>
          <w:highlight w:val="none"/>
        </w:rPr>
        <w:t>项目培训服务。</w:t>
      </w:r>
    </w:p>
    <w:p>
      <w:pPr>
        <w:pStyle w:val="23"/>
        <w:ind w:firstLine="420"/>
        <w:rPr>
          <w:rFonts w:ascii="宋体" w:hAnsi="宋体" w:eastAsia="宋体"/>
          <w:bCs/>
          <w:color w:val="auto"/>
          <w:sz w:val="24"/>
          <w:szCs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lang w:val="en-US" w:eastAsia="zh-CN"/>
        </w:rPr>
        <w:t>3）</w:t>
      </w:r>
      <w:r>
        <w:rPr>
          <w:rFonts w:hint="eastAsia" w:ascii="宋体" w:hAnsi="宋体" w:eastAsia="宋体"/>
          <w:bCs/>
          <w:color w:val="auto"/>
          <w:sz w:val="24"/>
          <w:szCs w:val="24"/>
          <w:highlight w:val="none"/>
        </w:rPr>
        <w:t>热线电话服务支持服务。</w:t>
      </w:r>
    </w:p>
    <w:p>
      <w:pPr>
        <w:pStyle w:val="23"/>
        <w:ind w:firstLine="420"/>
        <w:rPr>
          <w:rFonts w:ascii="宋体" w:hAnsi="宋体" w:eastAsia="宋体"/>
          <w:bCs/>
          <w:color w:val="auto"/>
          <w:sz w:val="24"/>
          <w:szCs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lang w:val="en-US" w:eastAsia="zh-CN"/>
        </w:rPr>
        <w:t>4）</w:t>
      </w:r>
      <w:r>
        <w:rPr>
          <w:rFonts w:hint="eastAsia" w:ascii="宋体" w:hAnsi="宋体" w:eastAsia="宋体"/>
          <w:bCs/>
          <w:color w:val="auto"/>
          <w:sz w:val="24"/>
          <w:szCs w:val="24"/>
          <w:highlight w:val="none"/>
        </w:rPr>
        <w:t>其它网络远程的支持服务。</w:t>
      </w:r>
    </w:p>
    <w:p>
      <w:pPr>
        <w:pStyle w:val="23"/>
        <w:ind w:firstLine="420"/>
        <w:rPr>
          <w:rFonts w:ascii="宋体" w:hAnsi="宋体" w:eastAsia="宋体"/>
          <w:bCs/>
          <w:color w:val="auto"/>
          <w:sz w:val="24"/>
          <w:szCs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lang w:val="en-US" w:eastAsia="zh-CN"/>
        </w:rPr>
        <w:t>5）</w:t>
      </w:r>
      <w:r>
        <w:rPr>
          <w:rFonts w:hint="eastAsia" w:ascii="宋体" w:hAnsi="宋体" w:eastAsia="宋体"/>
          <w:bCs/>
          <w:color w:val="auto"/>
          <w:sz w:val="24"/>
          <w:szCs w:val="24"/>
          <w:highlight w:val="none"/>
        </w:rPr>
        <w:t>项目问题上门解决服务。</w:t>
      </w:r>
    </w:p>
    <w:p>
      <w:pPr>
        <w:pStyle w:val="6"/>
        <w:numPr>
          <w:ilvl w:val="0"/>
          <w:numId w:val="0"/>
        </w:numPr>
        <w:ind w:left="-500" w:leftChars="0"/>
        <w:jc w:val="both"/>
        <w:rPr>
          <w:rFonts w:ascii="宋体" w:hAnsi="宋体" w:eastAsia="宋体"/>
          <w:color w:val="auto"/>
          <w:sz w:val="24"/>
          <w:szCs w:val="24"/>
          <w:highlight w:val="none"/>
        </w:rPr>
      </w:pPr>
      <w:bookmarkStart w:id="4" w:name="_Toc158522921"/>
      <w:bookmarkStart w:id="5" w:name="_Toc2742"/>
      <w:bookmarkStart w:id="6" w:name="_Toc2198708"/>
      <w:bookmarkStart w:id="7" w:name="_Toc11142738"/>
      <w:r>
        <w:rPr>
          <w:rFonts w:hint="eastAsia" w:ascii="宋体" w:hAnsi="宋体" w:eastAsia="宋体"/>
          <w:color w:val="auto"/>
          <w:sz w:val="24"/>
          <w:szCs w:val="24"/>
          <w:highlight w:val="none"/>
        </w:rPr>
        <w:t>4.2</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电话支持服务</w:t>
      </w:r>
      <w:bookmarkEnd w:id="4"/>
      <w:bookmarkEnd w:id="5"/>
      <w:bookmarkEnd w:id="6"/>
      <w:bookmarkEnd w:id="7"/>
    </w:p>
    <w:p>
      <w:pPr>
        <w:pStyle w:val="23"/>
        <w:ind w:firstLine="420"/>
        <w:rPr>
          <w:rFonts w:ascii="宋体" w:hAnsi="宋体" w:eastAsia="宋体"/>
          <w:bCs/>
          <w:color w:val="auto"/>
          <w:sz w:val="24"/>
          <w:szCs w:val="24"/>
          <w:highlight w:val="none"/>
        </w:rPr>
      </w:pPr>
      <w:r>
        <w:rPr>
          <w:rFonts w:hint="eastAsia" w:ascii="宋体" w:hAnsi="宋体" w:eastAsia="宋体"/>
          <w:bCs/>
          <w:color w:val="auto"/>
          <w:sz w:val="24"/>
          <w:szCs w:val="24"/>
          <w:highlight w:val="none"/>
          <w:lang w:val="en-US" w:eastAsia="zh-CN"/>
        </w:rPr>
        <w:t>（1）</w:t>
      </w:r>
      <w:r>
        <w:rPr>
          <w:rFonts w:hint="eastAsia" w:ascii="宋体" w:hAnsi="宋体" w:eastAsia="宋体"/>
          <w:bCs/>
          <w:color w:val="auto"/>
          <w:sz w:val="24"/>
          <w:szCs w:val="24"/>
          <w:highlight w:val="none"/>
        </w:rPr>
        <w:t>服务热线号码（包括电话和传真号码）。如有更改，在自更改之日起三天内以书面形式通知。</w:t>
      </w:r>
    </w:p>
    <w:p>
      <w:pPr>
        <w:pStyle w:val="23"/>
        <w:ind w:firstLine="420"/>
        <w:rPr>
          <w:rFonts w:ascii="宋体" w:hAnsi="宋体" w:eastAsia="宋体"/>
          <w:bCs/>
          <w:color w:val="auto"/>
          <w:sz w:val="24"/>
          <w:szCs w:val="24"/>
          <w:highlight w:val="none"/>
        </w:rPr>
      </w:pPr>
      <w:r>
        <w:rPr>
          <w:rFonts w:hint="eastAsia" w:ascii="宋体" w:hAnsi="宋体" w:eastAsia="宋体"/>
          <w:bCs/>
          <w:color w:val="auto"/>
          <w:sz w:val="24"/>
          <w:szCs w:val="24"/>
          <w:highlight w:val="none"/>
        </w:rPr>
        <w:t>（2）系统维护过程中，出现由于系统引起的技术故障，应对故障现象进行仔细认真的调查和记录，然后通过电话的方式向我们指定联系人提供故障的详细情况、服务请求时间、联系人和联系电话等。</w:t>
      </w:r>
    </w:p>
    <w:p>
      <w:pPr>
        <w:pStyle w:val="23"/>
        <w:ind w:firstLine="420"/>
        <w:rPr>
          <w:rFonts w:ascii="宋体" w:hAnsi="宋体" w:eastAsia="宋体"/>
          <w:bCs/>
          <w:color w:val="auto"/>
          <w:sz w:val="24"/>
          <w:szCs w:val="24"/>
          <w:highlight w:val="none"/>
        </w:rPr>
      </w:pPr>
      <w:r>
        <w:rPr>
          <w:rFonts w:hint="eastAsia" w:ascii="宋体" w:hAnsi="宋体" w:eastAsia="宋体"/>
          <w:bCs/>
          <w:color w:val="auto"/>
          <w:sz w:val="24"/>
          <w:szCs w:val="24"/>
          <w:highlight w:val="none"/>
        </w:rPr>
        <w:t>（3）建立由维护工程师组成的电话支持小组，响应用户的服务请求。在接到服务请求后，首先通过电话，协助与指导用户制定解决问题的方案。</w:t>
      </w:r>
    </w:p>
    <w:p>
      <w:pPr>
        <w:pStyle w:val="23"/>
        <w:ind w:firstLine="420"/>
        <w:rPr>
          <w:rFonts w:ascii="宋体" w:hAnsi="宋体" w:eastAsia="宋体"/>
          <w:bCs/>
          <w:color w:val="auto"/>
          <w:sz w:val="24"/>
          <w:szCs w:val="24"/>
          <w:highlight w:val="none"/>
        </w:rPr>
      </w:pPr>
      <w:r>
        <w:rPr>
          <w:rFonts w:hint="eastAsia" w:ascii="宋体" w:hAnsi="宋体" w:eastAsia="宋体"/>
          <w:bCs/>
          <w:color w:val="auto"/>
          <w:sz w:val="24"/>
          <w:szCs w:val="24"/>
          <w:highlight w:val="none"/>
        </w:rPr>
        <w:t>（4）提供每周6天、每天12小时的电话支持服务。</w:t>
      </w:r>
    </w:p>
    <w:p>
      <w:pPr>
        <w:pStyle w:val="6"/>
        <w:numPr>
          <w:ilvl w:val="0"/>
          <w:numId w:val="0"/>
        </w:numPr>
        <w:ind w:left="-500" w:leftChars="0"/>
        <w:jc w:val="both"/>
        <w:rPr>
          <w:rFonts w:ascii="宋体" w:hAnsi="宋体" w:eastAsia="宋体"/>
          <w:color w:val="auto"/>
          <w:sz w:val="24"/>
          <w:szCs w:val="24"/>
          <w:highlight w:val="none"/>
        </w:rPr>
      </w:pPr>
      <w:bookmarkStart w:id="8" w:name="_Toc158522922"/>
      <w:bookmarkStart w:id="9" w:name="_Toc11142739"/>
      <w:bookmarkStart w:id="10" w:name="_Toc9348"/>
      <w:bookmarkStart w:id="11" w:name="_Toc2198709"/>
      <w:r>
        <w:rPr>
          <w:rFonts w:hint="eastAsia" w:ascii="宋体" w:hAnsi="宋体" w:eastAsia="宋体"/>
          <w:color w:val="auto"/>
          <w:sz w:val="24"/>
          <w:szCs w:val="24"/>
          <w:highlight w:val="none"/>
        </w:rPr>
        <w:t>4.3</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现场支持服务</w:t>
      </w:r>
      <w:bookmarkEnd w:id="8"/>
      <w:bookmarkEnd w:id="9"/>
      <w:bookmarkEnd w:id="10"/>
      <w:bookmarkEnd w:id="11"/>
    </w:p>
    <w:p>
      <w:pPr>
        <w:pStyle w:val="23"/>
        <w:ind w:firstLine="420"/>
        <w:rPr>
          <w:rFonts w:ascii="宋体" w:hAnsi="宋体" w:eastAsia="宋体"/>
          <w:bCs/>
          <w:color w:val="auto"/>
          <w:sz w:val="24"/>
          <w:szCs w:val="24"/>
          <w:highlight w:val="none"/>
        </w:rPr>
      </w:pPr>
      <w:r>
        <w:rPr>
          <w:rFonts w:hint="eastAsia" w:ascii="宋体" w:hAnsi="宋体" w:eastAsia="宋体"/>
          <w:bCs/>
          <w:color w:val="auto"/>
          <w:sz w:val="24"/>
          <w:szCs w:val="24"/>
          <w:highlight w:val="none"/>
        </w:rPr>
        <w:t>（1）在接到电话支持服务请求后，如果不能通过电话支持服务解决产品发生的技术故障，且经双方商议确认需要进行现场支持的情况下，需</w:t>
      </w:r>
      <w:r>
        <w:rPr>
          <w:rFonts w:hint="eastAsia" w:ascii="宋体" w:hAnsi="宋体" w:eastAsia="宋体"/>
          <w:bCs/>
          <w:color w:val="auto"/>
          <w:sz w:val="24"/>
          <w:szCs w:val="24"/>
          <w:highlight w:val="none"/>
          <w:lang w:val="en-US" w:eastAsia="zh-CN"/>
        </w:rPr>
        <w:t>在</w:t>
      </w:r>
      <w:r>
        <w:rPr>
          <w:rFonts w:hint="eastAsia" w:ascii="宋体" w:hAnsi="宋体" w:eastAsia="宋体"/>
          <w:bCs/>
          <w:color w:val="auto"/>
          <w:sz w:val="24"/>
          <w:szCs w:val="24"/>
          <w:highlight w:val="none"/>
          <w:u w:val="single"/>
          <w:lang w:val="en-US" w:eastAsia="zh-CN"/>
        </w:rPr>
        <w:t>2</w:t>
      </w:r>
      <w:r>
        <w:rPr>
          <w:rFonts w:hint="eastAsia" w:ascii="宋体" w:hAnsi="宋体" w:eastAsia="宋体"/>
          <w:bCs/>
          <w:color w:val="auto"/>
          <w:sz w:val="24"/>
          <w:szCs w:val="24"/>
          <w:highlight w:val="none"/>
          <w:lang w:val="en-US" w:eastAsia="zh-CN"/>
        </w:rPr>
        <w:t>小时内</w:t>
      </w:r>
      <w:r>
        <w:rPr>
          <w:rFonts w:hint="eastAsia" w:ascii="宋体" w:hAnsi="宋体" w:eastAsia="宋体"/>
          <w:bCs/>
          <w:color w:val="auto"/>
          <w:sz w:val="24"/>
          <w:szCs w:val="24"/>
          <w:highlight w:val="none"/>
        </w:rPr>
        <w:t>派技术工程师</w:t>
      </w:r>
      <w:r>
        <w:rPr>
          <w:rFonts w:hint="eastAsia" w:ascii="宋体" w:hAnsi="宋体" w:eastAsia="宋体"/>
          <w:bCs/>
          <w:color w:val="auto"/>
          <w:sz w:val="24"/>
          <w:szCs w:val="24"/>
          <w:highlight w:val="none"/>
          <w:lang w:val="en-US" w:eastAsia="zh-CN"/>
        </w:rPr>
        <w:t>到达</w:t>
      </w:r>
      <w:r>
        <w:rPr>
          <w:rFonts w:hint="eastAsia" w:ascii="宋体" w:hAnsi="宋体" w:eastAsia="宋体"/>
          <w:bCs/>
          <w:color w:val="auto"/>
          <w:sz w:val="24"/>
          <w:szCs w:val="24"/>
          <w:highlight w:val="none"/>
        </w:rPr>
        <w:t>现场协助用户排除故障。</w:t>
      </w:r>
    </w:p>
    <w:p>
      <w:pPr>
        <w:pStyle w:val="23"/>
        <w:ind w:firstLine="420"/>
        <w:rPr>
          <w:rFonts w:hint="eastAsia" w:ascii="宋体" w:hAnsi="宋体" w:eastAsia="宋体"/>
          <w:bCs/>
          <w:color w:val="auto"/>
          <w:sz w:val="24"/>
          <w:szCs w:val="24"/>
          <w:highlight w:val="none"/>
          <w:lang w:eastAsia="zh-CN"/>
        </w:rPr>
      </w:pPr>
      <w:r>
        <w:rPr>
          <w:rFonts w:hint="eastAsia" w:ascii="宋体" w:hAnsi="宋体" w:eastAsia="宋体"/>
          <w:bCs/>
          <w:color w:val="auto"/>
          <w:sz w:val="24"/>
          <w:szCs w:val="24"/>
          <w:highlight w:val="none"/>
        </w:rPr>
        <w:t>（2）根据故障可能对业务造成的影响，将故障划分为四种级别，划分界定如下：</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lang w:val="en-US" w:eastAsia="zh-CN"/>
        </w:rPr>
        <w:t>请确定故障响应时间及承诺修复时间</w:t>
      </w:r>
      <w:r>
        <w:rPr>
          <w:rFonts w:hint="eastAsia" w:ascii="宋体" w:hAnsi="宋体" w:eastAsia="宋体"/>
          <w:bCs/>
          <w:color w:val="auto"/>
          <w:sz w:val="24"/>
          <w:szCs w:val="24"/>
          <w:highlight w:val="none"/>
          <w:lang w:eastAsia="zh-CN"/>
        </w:rPr>
        <w:t>）</w:t>
      </w:r>
    </w:p>
    <w:p>
      <w:pPr>
        <w:pStyle w:val="23"/>
        <w:widowControl w:val="0"/>
        <w:numPr>
          <w:ilvl w:val="0"/>
          <w:numId w:val="3"/>
        </w:numPr>
        <w:autoSpaceDE w:val="0"/>
        <w:autoSpaceDN w:val="0"/>
        <w:ind w:firstLineChars="0"/>
        <w:rPr>
          <w:rFonts w:ascii="宋体" w:hAnsi="宋体" w:eastAsia="宋体"/>
          <w:bCs/>
          <w:color w:val="auto"/>
          <w:sz w:val="24"/>
          <w:szCs w:val="24"/>
          <w:highlight w:val="none"/>
        </w:rPr>
      </w:pPr>
      <w:r>
        <w:rPr>
          <w:rFonts w:hint="eastAsia" w:ascii="宋体" w:hAnsi="宋体" w:eastAsia="宋体"/>
          <w:b/>
          <w:bCs/>
          <w:color w:val="auto"/>
          <w:sz w:val="24"/>
          <w:szCs w:val="24"/>
          <w:highlight w:val="none"/>
        </w:rPr>
        <w:t>特级服务：</w:t>
      </w:r>
      <w:r>
        <w:rPr>
          <w:rFonts w:hint="eastAsia" w:ascii="宋体" w:hAnsi="宋体" w:eastAsia="宋体"/>
          <w:bCs/>
          <w:color w:val="auto"/>
          <w:sz w:val="24"/>
          <w:szCs w:val="24"/>
          <w:highlight w:val="none"/>
        </w:rPr>
        <w:t>主要是针对特殊应用系统的重要性，承诺提供1小时内的现场服务。</w:t>
      </w:r>
    </w:p>
    <w:p>
      <w:pPr>
        <w:pStyle w:val="23"/>
        <w:numPr>
          <w:ilvl w:val="0"/>
          <w:numId w:val="3"/>
        </w:numPr>
        <w:ind w:firstLineChars="0"/>
        <w:rPr>
          <w:rFonts w:ascii="宋体" w:hAnsi="宋体" w:eastAsia="宋体"/>
          <w:bCs/>
          <w:color w:val="auto"/>
          <w:sz w:val="24"/>
          <w:szCs w:val="24"/>
          <w:highlight w:val="none"/>
        </w:rPr>
      </w:pPr>
      <w:r>
        <w:rPr>
          <w:rFonts w:hint="eastAsia" w:ascii="宋体" w:hAnsi="宋体" w:eastAsia="宋体"/>
          <w:b/>
          <w:bCs/>
          <w:color w:val="auto"/>
          <w:sz w:val="24"/>
          <w:szCs w:val="24"/>
          <w:highlight w:val="none"/>
        </w:rPr>
        <w:t>一级故障：</w:t>
      </w:r>
      <w:r>
        <w:rPr>
          <w:rFonts w:hint="eastAsia" w:ascii="宋体" w:hAnsi="宋体" w:eastAsia="宋体"/>
          <w:bCs/>
          <w:color w:val="auto"/>
          <w:sz w:val="24"/>
          <w:szCs w:val="24"/>
          <w:highlight w:val="none"/>
        </w:rPr>
        <w:t>主要指出现系统瘫痪或服务中断，导致产品的基本功能不能实现或全面退化的故障。</w:t>
      </w:r>
      <w:r>
        <w:rPr>
          <w:rFonts w:hint="eastAsia" w:ascii="宋体" w:hAnsi="宋体" w:eastAsia="宋体"/>
          <w:bCs/>
          <w:color w:val="auto"/>
          <w:szCs w:val="24"/>
          <w:highlight w:val="none"/>
          <w:lang w:eastAsia="zh-CN"/>
        </w:rPr>
        <w:t>需在</w:t>
      </w:r>
      <w:r>
        <w:rPr>
          <w:rFonts w:hint="eastAsia" w:ascii="宋体" w:hAnsi="宋体" w:eastAsia="宋体"/>
          <w:bCs/>
          <w:color w:val="auto"/>
          <w:szCs w:val="24"/>
          <w:highlight w:val="none"/>
          <w:lang w:val="en-US" w:eastAsia="zh-CN"/>
        </w:rPr>
        <w:t>5分钟内响应，根据实际情况在24小时内解决故障</w:t>
      </w:r>
      <w:r>
        <w:rPr>
          <w:rFonts w:hint="eastAsia" w:ascii="宋体" w:hAnsi="宋体" w:eastAsia="宋体"/>
          <w:bCs/>
          <w:color w:val="auto"/>
          <w:szCs w:val="24"/>
          <w:highlight w:val="none"/>
        </w:rPr>
        <w:t>。</w:t>
      </w:r>
    </w:p>
    <w:p>
      <w:pPr>
        <w:pStyle w:val="23"/>
        <w:widowControl w:val="0"/>
        <w:numPr>
          <w:ilvl w:val="0"/>
          <w:numId w:val="3"/>
        </w:numPr>
        <w:autoSpaceDE w:val="0"/>
        <w:autoSpaceDN w:val="0"/>
        <w:ind w:firstLineChars="0"/>
        <w:rPr>
          <w:rFonts w:ascii="宋体" w:hAnsi="宋体" w:eastAsia="宋体"/>
          <w:bCs/>
          <w:color w:val="auto"/>
          <w:sz w:val="24"/>
          <w:szCs w:val="24"/>
          <w:highlight w:val="none"/>
        </w:rPr>
      </w:pPr>
      <w:r>
        <w:rPr>
          <w:rFonts w:hint="eastAsia" w:ascii="宋体" w:hAnsi="宋体" w:eastAsia="宋体"/>
          <w:b/>
          <w:bCs/>
          <w:color w:val="auto"/>
          <w:sz w:val="24"/>
          <w:szCs w:val="24"/>
          <w:highlight w:val="none"/>
        </w:rPr>
        <w:t>二级故障：</w:t>
      </w:r>
      <w:r>
        <w:rPr>
          <w:rFonts w:hint="eastAsia" w:ascii="宋体" w:hAnsi="宋体" w:eastAsia="宋体"/>
          <w:bCs/>
          <w:color w:val="auto"/>
          <w:sz w:val="24"/>
          <w:szCs w:val="24"/>
          <w:highlight w:val="none"/>
        </w:rPr>
        <w:t>主要指系统在运行中出现的故障具有潜在的系统瘫痪或服务中断的危险，并可能导致项目设备的基本功能不能实现或全面退化。</w:t>
      </w:r>
      <w:r>
        <w:rPr>
          <w:rFonts w:hint="eastAsia" w:ascii="宋体" w:hAnsi="宋体" w:eastAsia="宋体"/>
          <w:bCs/>
          <w:color w:val="auto"/>
          <w:szCs w:val="24"/>
          <w:highlight w:val="none"/>
          <w:lang w:eastAsia="zh-CN"/>
        </w:rPr>
        <w:t>需在</w:t>
      </w:r>
      <w:r>
        <w:rPr>
          <w:rFonts w:hint="eastAsia" w:ascii="宋体" w:hAnsi="宋体" w:eastAsia="宋体"/>
          <w:bCs/>
          <w:color w:val="auto"/>
          <w:szCs w:val="24"/>
          <w:highlight w:val="none"/>
          <w:lang w:val="en-US" w:eastAsia="zh-CN"/>
        </w:rPr>
        <w:t>5分钟内响应，根据实际情况在24小时内解决故障</w:t>
      </w:r>
      <w:r>
        <w:rPr>
          <w:rFonts w:hint="eastAsia" w:ascii="宋体" w:hAnsi="宋体" w:eastAsia="宋体"/>
          <w:bCs/>
          <w:color w:val="auto"/>
          <w:szCs w:val="24"/>
          <w:highlight w:val="none"/>
        </w:rPr>
        <w:t>。</w:t>
      </w:r>
    </w:p>
    <w:p>
      <w:pPr>
        <w:pStyle w:val="23"/>
        <w:widowControl w:val="0"/>
        <w:numPr>
          <w:ilvl w:val="0"/>
          <w:numId w:val="3"/>
        </w:numPr>
        <w:autoSpaceDE w:val="0"/>
        <w:autoSpaceDN w:val="0"/>
        <w:ind w:firstLineChars="0"/>
        <w:rPr>
          <w:rFonts w:ascii="宋体" w:hAnsi="宋体" w:eastAsia="宋体"/>
          <w:bCs/>
          <w:color w:val="auto"/>
          <w:sz w:val="24"/>
          <w:szCs w:val="24"/>
          <w:highlight w:val="none"/>
        </w:rPr>
      </w:pPr>
      <w:r>
        <w:rPr>
          <w:rFonts w:hint="eastAsia" w:ascii="宋体" w:hAnsi="宋体" w:eastAsia="宋体"/>
          <w:b/>
          <w:bCs/>
          <w:color w:val="auto"/>
          <w:sz w:val="24"/>
          <w:szCs w:val="24"/>
          <w:highlight w:val="none"/>
        </w:rPr>
        <w:t>三级故障：</w:t>
      </w:r>
      <w:r>
        <w:rPr>
          <w:rFonts w:hint="eastAsia" w:ascii="宋体" w:hAnsi="宋体" w:eastAsia="宋体"/>
          <w:bCs/>
          <w:color w:val="auto"/>
          <w:sz w:val="24"/>
          <w:szCs w:val="24"/>
          <w:highlight w:val="none"/>
        </w:rPr>
        <w:t>主要指系统在运行中出现的直接影响服务，导致系统性能或服务部分退化的故障。</w:t>
      </w:r>
      <w:r>
        <w:rPr>
          <w:rFonts w:hint="eastAsia" w:ascii="宋体" w:hAnsi="宋体" w:eastAsia="宋体"/>
          <w:bCs/>
          <w:color w:val="auto"/>
          <w:szCs w:val="24"/>
          <w:highlight w:val="none"/>
          <w:lang w:eastAsia="zh-CN"/>
        </w:rPr>
        <w:t>需在</w:t>
      </w:r>
      <w:r>
        <w:rPr>
          <w:rFonts w:hint="eastAsia" w:ascii="宋体" w:hAnsi="宋体" w:eastAsia="宋体"/>
          <w:bCs/>
          <w:color w:val="auto"/>
          <w:szCs w:val="24"/>
          <w:highlight w:val="none"/>
          <w:lang w:val="en-US" w:eastAsia="zh-CN"/>
        </w:rPr>
        <w:t>5分钟内响应，根据实际情况在24小时内解决故障</w:t>
      </w:r>
      <w:r>
        <w:rPr>
          <w:rFonts w:hint="eastAsia" w:ascii="宋体" w:hAnsi="宋体" w:eastAsia="宋体"/>
          <w:bCs/>
          <w:color w:val="auto"/>
          <w:szCs w:val="24"/>
          <w:highlight w:val="none"/>
        </w:rPr>
        <w:t>。</w:t>
      </w:r>
    </w:p>
    <w:p>
      <w:pPr>
        <w:pStyle w:val="23"/>
        <w:widowControl w:val="0"/>
        <w:numPr>
          <w:ilvl w:val="0"/>
          <w:numId w:val="3"/>
        </w:numPr>
        <w:autoSpaceDE w:val="0"/>
        <w:autoSpaceDN w:val="0"/>
        <w:ind w:firstLineChars="0"/>
        <w:rPr>
          <w:rFonts w:ascii="宋体" w:hAnsi="宋体" w:eastAsia="宋体" w:cs="仿宋"/>
          <w:color w:val="auto"/>
          <w:sz w:val="24"/>
          <w:szCs w:val="24"/>
          <w:highlight w:val="none"/>
        </w:rPr>
      </w:pPr>
      <w:r>
        <w:rPr>
          <w:rFonts w:hint="eastAsia" w:ascii="宋体" w:hAnsi="宋体" w:eastAsia="宋体"/>
          <w:b/>
          <w:bCs/>
          <w:color w:val="auto"/>
          <w:sz w:val="24"/>
          <w:szCs w:val="24"/>
          <w:highlight w:val="none"/>
        </w:rPr>
        <w:t>四级故障：</w:t>
      </w:r>
      <w:r>
        <w:rPr>
          <w:rFonts w:hint="eastAsia" w:ascii="宋体" w:hAnsi="宋体" w:eastAsia="宋体"/>
          <w:bCs/>
          <w:color w:val="auto"/>
          <w:sz w:val="24"/>
          <w:szCs w:val="24"/>
          <w:highlight w:val="none"/>
        </w:rPr>
        <w:t>主要指系统在运行中出现的断续或间接地影响系统功能和服务的故障。</w:t>
      </w:r>
      <w:r>
        <w:rPr>
          <w:rFonts w:hint="eastAsia" w:ascii="宋体" w:hAnsi="宋体" w:eastAsia="宋体"/>
          <w:bCs/>
          <w:color w:val="auto"/>
          <w:szCs w:val="24"/>
          <w:highlight w:val="none"/>
          <w:lang w:eastAsia="zh-CN"/>
        </w:rPr>
        <w:t>需在</w:t>
      </w:r>
      <w:r>
        <w:rPr>
          <w:rFonts w:hint="eastAsia" w:ascii="宋体" w:hAnsi="宋体" w:eastAsia="宋体"/>
          <w:bCs/>
          <w:color w:val="auto"/>
          <w:szCs w:val="24"/>
          <w:highlight w:val="none"/>
          <w:lang w:val="en-US" w:eastAsia="zh-CN"/>
        </w:rPr>
        <w:t>5分钟内响应，根据实际情况在3小时内解决故障</w:t>
      </w:r>
      <w:r>
        <w:rPr>
          <w:rFonts w:hint="eastAsia" w:ascii="宋体" w:hAnsi="宋体" w:eastAsia="宋体"/>
          <w:bCs/>
          <w:color w:val="auto"/>
          <w:szCs w:val="24"/>
          <w:highlight w:val="none"/>
        </w:rPr>
        <w:t>。</w:t>
      </w:r>
    </w:p>
    <w:p>
      <w:pPr>
        <w:pStyle w:val="6"/>
        <w:numPr>
          <w:ilvl w:val="0"/>
          <w:numId w:val="0"/>
        </w:numPr>
        <w:ind w:left="-500" w:leftChars="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4.4</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OA及工程管理软件流程定制服务</w:t>
      </w: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根据需求表单，用智能建模达到所需功能正常运行。</w:t>
      </w:r>
    </w:p>
    <w:p>
      <w:pPr>
        <w:pStyle w:val="6"/>
        <w:numPr>
          <w:ilvl w:val="0"/>
          <w:numId w:val="0"/>
        </w:numPr>
        <w:ind w:left="-500" w:leftChars="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4.5</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软件BUG修复升级</w:t>
      </w: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使用过程中如有软件及服务器bug应及时处理。</w:t>
      </w:r>
    </w:p>
    <w:p>
      <w:pPr>
        <w:pStyle w:val="6"/>
        <w:numPr>
          <w:ilvl w:val="0"/>
          <w:numId w:val="0"/>
        </w:numPr>
        <w:ind w:left="-500" w:leftChars="0"/>
        <w:jc w:val="both"/>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4.6</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网络数据安全</w:t>
      </w:r>
    </w:p>
    <w:p>
      <w:pPr>
        <w:rPr>
          <w:color w:val="auto"/>
          <w:sz w:val="24"/>
          <w:highlight w:val="none"/>
        </w:rPr>
      </w:pPr>
      <w:r>
        <w:rPr>
          <w:rFonts w:hint="eastAsia" w:ascii="宋体" w:hAnsi="宋体" w:eastAsia="宋体"/>
          <w:color w:val="auto"/>
          <w:sz w:val="24"/>
          <w:szCs w:val="24"/>
          <w:highlight w:val="none"/>
        </w:rPr>
        <w:t>做好对数据库及文件的加密处理；数据的传输做加密处理。在服务器方便配置数据库及服务器备份、防火墙、防篡改软件和入侵检测软件，做好安全保障。</w:t>
      </w:r>
    </w:p>
    <w:p>
      <w:pPr>
        <w:numPr>
          <w:ilvl w:val="0"/>
          <w:numId w:val="2"/>
        </w:numPr>
        <w:autoSpaceDE/>
        <w:autoSpaceDN/>
        <w:snapToGrid w:val="0"/>
        <w:spacing w:line="460" w:lineRule="exact"/>
        <w:jc w:val="both"/>
        <w:rPr>
          <w:rFonts w:ascii="宋体" w:hAnsi="宋体" w:eastAsia="宋体" w:cs="宋体"/>
          <w:b/>
          <w:color w:val="auto"/>
          <w:sz w:val="24"/>
          <w:highlight w:val="none"/>
        </w:rPr>
      </w:pPr>
      <w:bookmarkStart w:id="12" w:name="_Toc217446110"/>
      <w:r>
        <w:rPr>
          <w:rFonts w:hint="eastAsia" w:ascii="宋体" w:hAnsi="宋体" w:eastAsia="宋体" w:cs="宋体"/>
          <w:b/>
          <w:color w:val="auto"/>
          <w:sz w:val="24"/>
          <w:highlight w:val="none"/>
        </w:rPr>
        <w:t>成果及验收</w:t>
      </w:r>
      <w:bookmarkEnd w:id="12"/>
    </w:p>
    <w:p>
      <w:pPr>
        <w:pStyle w:val="24"/>
        <w:spacing w:line="360" w:lineRule="auto"/>
        <w:ind w:firstLine="480"/>
        <w:rPr>
          <w:rFonts w:ascii="宋体" w:hAnsi="Courier New" w:cs="Times New Roman"/>
          <w:color w:val="auto"/>
          <w:szCs w:val="20"/>
          <w:highlight w:val="none"/>
        </w:rPr>
      </w:pPr>
      <w:r>
        <w:rPr>
          <w:rFonts w:hint="eastAsia" w:ascii="宋体" w:hAnsi="Courier New" w:cs="Times New Roman"/>
          <w:color w:val="auto"/>
          <w:szCs w:val="20"/>
          <w:highlight w:val="none"/>
          <w:lang w:val="en-US" w:eastAsia="zh-CN"/>
        </w:rPr>
        <w:t>1</w:t>
      </w:r>
      <w:r>
        <w:rPr>
          <w:rFonts w:hint="eastAsia" w:ascii="宋体" w:hAnsi="Courier New" w:cs="Times New Roman"/>
          <w:color w:val="auto"/>
          <w:szCs w:val="20"/>
          <w:highlight w:val="none"/>
        </w:rPr>
        <w:t>、验收由甲方组织，乙方配合进行：</w:t>
      </w:r>
    </w:p>
    <w:p>
      <w:pPr>
        <w:tabs>
          <w:tab w:val="left" w:pos="1440"/>
        </w:tabs>
        <w:snapToGrid w:val="0"/>
        <w:spacing w:line="360" w:lineRule="auto"/>
        <w:rPr>
          <w:rFonts w:hint="eastAsia" w:ascii="宋体" w:hAnsi="Courier New" w:eastAsia="宋体" w:cs="Times New Roman"/>
          <w:color w:val="auto"/>
          <w:kern w:val="2"/>
          <w:sz w:val="24"/>
          <w:szCs w:val="20"/>
          <w:highlight w:val="none"/>
          <w:lang w:eastAsia="zh-CN"/>
        </w:rPr>
      </w:pPr>
      <w:r>
        <w:rPr>
          <w:rFonts w:hint="eastAsia" w:ascii="宋体" w:hAnsi="Courier New" w:eastAsia="宋体" w:cs="Times New Roman"/>
          <w:color w:val="auto"/>
          <w:kern w:val="2"/>
          <w:sz w:val="24"/>
          <w:szCs w:val="20"/>
          <w:highlight w:val="none"/>
          <w:lang w:eastAsia="zh-CN"/>
        </w:rPr>
        <w:t>乙方按照合同内容完成开发部署并通过甲方各部门测试无误后，通知甲方验收。</w:t>
      </w:r>
    </w:p>
    <w:p>
      <w:pPr>
        <w:tabs>
          <w:tab w:val="left" w:pos="1440"/>
        </w:tabs>
        <w:snapToGrid w:val="0"/>
        <w:spacing w:line="360" w:lineRule="auto"/>
        <w:ind w:firstLine="480" w:firstLineChars="200"/>
        <w:rPr>
          <w:rFonts w:hint="eastAsia" w:ascii="宋体" w:hAnsi="Courier New" w:eastAsia="宋体" w:cs="Times New Roman"/>
          <w:color w:val="auto"/>
          <w:kern w:val="2"/>
          <w:sz w:val="24"/>
          <w:szCs w:val="20"/>
          <w:highlight w:val="none"/>
          <w:lang w:eastAsia="zh-CN"/>
        </w:rPr>
      </w:pPr>
      <w:r>
        <w:rPr>
          <w:rFonts w:hint="eastAsia" w:ascii="宋体" w:hAnsi="Courier New" w:eastAsia="宋体" w:cs="Times New Roman"/>
          <w:color w:val="auto"/>
          <w:kern w:val="2"/>
          <w:sz w:val="24"/>
          <w:szCs w:val="20"/>
          <w:highlight w:val="none"/>
          <w:lang w:val="en-US" w:eastAsia="zh-CN"/>
        </w:rPr>
        <w:t>2、</w:t>
      </w:r>
      <w:r>
        <w:rPr>
          <w:rFonts w:hint="eastAsia" w:ascii="宋体" w:hAnsi="Courier New" w:eastAsia="宋体" w:cs="Times New Roman"/>
          <w:color w:val="auto"/>
          <w:kern w:val="2"/>
          <w:sz w:val="24"/>
          <w:szCs w:val="20"/>
          <w:highlight w:val="none"/>
          <w:lang w:eastAsia="zh-CN"/>
        </w:rPr>
        <w:t>服务完成后，甲方无故不进行验收工作或收到项目完毕通知之日起7日内未组织验收或已使用服务项目的，视同已完成并验收合格。</w:t>
      </w:r>
    </w:p>
    <w:p>
      <w:pPr>
        <w:numPr>
          <w:ilvl w:val="0"/>
          <w:numId w:val="2"/>
        </w:numPr>
        <w:autoSpaceDE/>
        <w:autoSpaceDN/>
        <w:snapToGrid w:val="0"/>
        <w:spacing w:line="360" w:lineRule="auto"/>
        <w:jc w:val="both"/>
        <w:rPr>
          <w:rFonts w:ascii="宋体" w:hAnsi="宋体" w:cs="宋体"/>
          <w:b/>
          <w:color w:val="auto"/>
          <w:sz w:val="24"/>
          <w:highlight w:val="none"/>
        </w:rPr>
      </w:pPr>
      <w:r>
        <w:rPr>
          <w:rFonts w:hint="eastAsia" w:ascii="宋体" w:hAnsi="宋体" w:eastAsia="宋体" w:cs="宋体"/>
          <w:b/>
          <w:color w:val="auto"/>
          <w:sz w:val="24"/>
          <w:highlight w:val="none"/>
          <w:lang w:eastAsia="zh-CN"/>
        </w:rPr>
        <w:t>保密条款</w:t>
      </w:r>
    </w:p>
    <w:p>
      <w:pPr>
        <w:spacing w:line="460" w:lineRule="exact"/>
        <w:ind w:firstLine="480" w:firstLineChars="200"/>
        <w:rPr>
          <w:rFonts w:hint="eastAsia" w:ascii="宋体" w:hAnsi="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color w:val="auto"/>
          <w:sz w:val="24"/>
          <w:highlight w:val="none"/>
        </w:rPr>
        <w:t>.1 甲乙双方应对在本合同签订或履行过程中所接触的对方信息，包括但不限于知识产权、技术资料、技术诀窍、内部管理及其他相关信息，负有保密义务。</w:t>
      </w:r>
    </w:p>
    <w:p>
      <w:pPr>
        <w:spacing w:line="460" w:lineRule="exact"/>
        <w:ind w:firstLine="480" w:firstLineChars="200"/>
        <w:rPr>
          <w:rFonts w:hint="eastAsia" w:ascii="宋体" w:hAnsi="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color w:val="auto"/>
          <w:sz w:val="24"/>
          <w:highlight w:val="none"/>
        </w:rPr>
        <w:t>.2 乙方在使用甲方为乙方及其工作人员提供的数据、程序、用户名、口令、资料及甲方相关的业务和技术文档，包括税收政策、方案设计细节、程序文件、数据结构，以及相关业务系统的硬软件、文档、测试和测试产生的数据时，应遵循以下规定：</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 应以审慎态度避免泄漏、公开或传播甲方的信息；</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 在开发过程中对数据的处理方式应事先得到甲方的许可；</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 未经甲方书面许可，不得对有关信息进行修改、补充、复制；</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（4） 未经甲方书面许可，不得将信息以任何方式携带出甲方场所；</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（5） 未经甲方书面许可，不得将信息透露给任何其他人； </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（6） 严禁在提交的软件产品中设置远程维护接口和后门程序；</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（7）未经甲方书面许可，不得进行系统软硬件设备的远程维护；</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（8）甲方以书面形式提出的其他保密措施。</w:t>
      </w:r>
    </w:p>
    <w:p>
      <w:pPr>
        <w:spacing w:line="460" w:lineRule="exact"/>
        <w:ind w:firstLine="480" w:firstLineChars="200"/>
        <w:rPr>
          <w:color w:val="auto"/>
          <w:highlight w:val="none"/>
        </w:rPr>
      </w:pPr>
      <w:r>
        <w:rPr>
          <w:rFonts w:hint="eastAsia" w:ascii="宋体" w:hAnsi="宋体"/>
          <w:color w:val="auto"/>
          <w:sz w:val="24"/>
          <w:highlight w:val="none"/>
        </w:rPr>
        <w:t>5.3 保密期限不受合同有效期的限制，在合同有效期结束后，信息接受方仍应承担保密义务，直至该等信息成为公开信息。</w:t>
      </w:r>
    </w:p>
    <w:p>
      <w:pPr>
        <w:numPr>
          <w:ilvl w:val="0"/>
          <w:numId w:val="2"/>
        </w:numPr>
        <w:autoSpaceDE/>
        <w:autoSpaceDN/>
        <w:snapToGrid w:val="0"/>
        <w:spacing w:line="360" w:lineRule="auto"/>
        <w:jc w:val="both"/>
        <w:rPr>
          <w:rFonts w:ascii="宋体" w:hAnsi="宋体" w:cs="宋体"/>
          <w:b/>
          <w:color w:val="auto"/>
          <w:sz w:val="24"/>
          <w:highlight w:val="none"/>
        </w:rPr>
      </w:pPr>
      <w:r>
        <w:rPr>
          <w:rFonts w:hint="eastAsia" w:ascii="宋体" w:hAnsi="宋体" w:cs="宋体"/>
          <w:b/>
          <w:color w:val="auto"/>
          <w:sz w:val="24"/>
          <w:highlight w:val="none"/>
        </w:rPr>
        <w:t>违约责任</w:t>
      </w:r>
    </w:p>
    <w:p>
      <w:pPr>
        <w:adjustRightInd w:val="0"/>
        <w:snapToGrid w:val="0"/>
        <w:spacing w:line="360" w:lineRule="auto"/>
        <w:ind w:firstLine="480" w:firstLineChars="200"/>
        <w:textAlignment w:val="baseline"/>
        <w:rPr>
          <w:rFonts w:ascii="宋体" w:hAnsi="宋体" w:cs="宋体"/>
          <w:bCs/>
          <w:color w:val="auto"/>
          <w:sz w:val="24"/>
          <w:highlight w:val="none"/>
          <w:lang w:eastAsia="zh-CN"/>
        </w:rPr>
      </w:pPr>
      <w:r>
        <w:rPr>
          <w:rFonts w:hint="eastAsia" w:ascii="宋体" w:hAnsi="宋体" w:cs="宋体"/>
          <w:bCs/>
          <w:color w:val="auto"/>
          <w:sz w:val="24"/>
          <w:highlight w:val="none"/>
          <w:lang w:eastAsia="zh-CN"/>
        </w:rPr>
        <w:t>1、甲乙双方必须遵守本合同并执行合同中的各项规定，保证本合同的正常履行。</w:t>
      </w:r>
    </w:p>
    <w:p>
      <w:pPr>
        <w:adjustRightInd w:val="0"/>
        <w:snapToGrid w:val="0"/>
        <w:spacing w:line="360" w:lineRule="auto"/>
        <w:ind w:firstLine="480" w:firstLineChars="200"/>
        <w:textAlignment w:val="baseline"/>
        <w:rPr>
          <w:rFonts w:hint="eastAsia" w:ascii="宋体" w:hAnsi="宋体" w:cs="宋体"/>
          <w:bCs/>
          <w:color w:val="auto"/>
          <w:sz w:val="24"/>
          <w:highlight w:val="none"/>
          <w:lang w:eastAsia="zh-CN"/>
        </w:rPr>
      </w:pPr>
      <w:r>
        <w:rPr>
          <w:rFonts w:hint="eastAsia" w:ascii="宋体" w:hAnsi="宋体" w:cs="宋体"/>
          <w:bCs/>
          <w:color w:val="auto"/>
          <w:sz w:val="24"/>
          <w:highlight w:val="none"/>
          <w:lang w:eastAsia="zh-CN"/>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2"/>
        <w:ind w:firstLine="440"/>
        <w:rPr>
          <w:rFonts w:hint="eastAsia"/>
          <w:color w:val="auto"/>
          <w:sz w:val="24"/>
          <w:szCs w:val="24"/>
          <w:highlight w:val="none"/>
          <w:lang w:val="en-US" w:eastAsia="zh-CN"/>
        </w:rPr>
      </w:pPr>
      <w:r>
        <w:rPr>
          <w:rFonts w:hint="eastAsia"/>
          <w:color w:val="auto"/>
          <w:sz w:val="24"/>
          <w:szCs w:val="24"/>
          <w:highlight w:val="none"/>
          <w:lang w:val="en-US" w:eastAsia="zh-CN"/>
        </w:rPr>
        <w:t>3、在甲方使用过程中如遇本合同第三条问题，在甲方联系乙方后，乙方未在约定时间内解决问题或问题发生后甲方联系不上乙方，则甲方有权找第三方对问题进行修复，修复费用由乙方承担，若给甲方造成损失，乙方还应赔偿甲方损失。</w:t>
      </w:r>
    </w:p>
    <w:p>
      <w:pPr>
        <w:pStyle w:val="2"/>
        <w:ind w:firstLine="440"/>
        <w:rPr>
          <w:rFonts w:hint="eastAsia"/>
          <w:i w:val="0"/>
          <w:iCs/>
          <w:color w:val="auto"/>
          <w:sz w:val="24"/>
          <w:szCs w:val="24"/>
          <w:highlight w:val="none"/>
          <w:lang w:val="en-US" w:eastAsia="zh-CN"/>
        </w:rPr>
      </w:pPr>
      <w:r>
        <w:rPr>
          <w:rFonts w:hint="eastAsia"/>
          <w:i w:val="0"/>
          <w:iCs/>
          <w:color w:val="auto"/>
          <w:sz w:val="24"/>
          <w:szCs w:val="24"/>
          <w:highlight w:val="none"/>
          <w:lang w:val="en-US" w:eastAsia="zh-CN"/>
        </w:rPr>
        <w:t>4、若乙方未在规定时间内完成本合同约定项目，每逾期一天甲方有权按照1000元/天的标准要求乙方支付违约金，该费用甲方可直接从未支付的开发费中扣除；逾期超过</w:t>
      </w:r>
      <w:r>
        <w:rPr>
          <w:rFonts w:hint="eastAsia"/>
          <w:i w:val="0"/>
          <w:iCs/>
          <w:color w:val="auto"/>
          <w:sz w:val="24"/>
          <w:szCs w:val="24"/>
          <w:highlight w:val="none"/>
          <w:u w:val="single"/>
          <w:lang w:val="en-US" w:eastAsia="zh-CN"/>
        </w:rPr>
        <w:t xml:space="preserve">    </w:t>
      </w:r>
      <w:r>
        <w:rPr>
          <w:rFonts w:hint="eastAsia"/>
          <w:i w:val="0"/>
          <w:iCs/>
          <w:color w:val="auto"/>
          <w:sz w:val="24"/>
          <w:szCs w:val="24"/>
          <w:highlight w:val="none"/>
          <w:lang w:val="en-US" w:eastAsia="zh-CN"/>
        </w:rPr>
        <w:t>天，甲方有权解除合同并要求乙方返还已支付的开发费用，由此给甲方造成损失的，还应赔偿甲方损失。</w:t>
      </w:r>
    </w:p>
    <w:p>
      <w:pPr>
        <w:pStyle w:val="2"/>
        <w:ind w:firstLine="440"/>
        <w:rPr>
          <w:rFonts w:hint="default"/>
          <w:color w:val="auto"/>
          <w:sz w:val="24"/>
          <w:szCs w:val="24"/>
          <w:highlight w:val="none"/>
          <w:lang w:val="en-US" w:eastAsia="zh-CN"/>
        </w:rPr>
      </w:pPr>
      <w:r>
        <w:rPr>
          <w:rFonts w:hint="eastAsia"/>
          <w:color w:val="auto"/>
          <w:sz w:val="24"/>
          <w:szCs w:val="24"/>
          <w:highlight w:val="none"/>
          <w:lang w:val="en-US" w:eastAsia="zh-CN"/>
        </w:rPr>
        <w:t>5、乙方不得擅自增加本合同约定的年费金额，若乙方擅自增加年费金额，甲方有权要求乙方按照本合同总金额的20%承担违约金，如给甲方造成损失的，还应赔偿甲方损失。</w:t>
      </w:r>
    </w:p>
    <w:p>
      <w:pPr>
        <w:numPr>
          <w:ilvl w:val="0"/>
          <w:numId w:val="2"/>
        </w:numPr>
        <w:autoSpaceDE/>
        <w:autoSpaceDN/>
        <w:snapToGrid w:val="0"/>
        <w:spacing w:line="360" w:lineRule="auto"/>
        <w:jc w:val="both"/>
        <w:rPr>
          <w:rFonts w:ascii="宋体" w:hAnsi="宋体" w:cs="宋体"/>
          <w:b/>
          <w:color w:val="auto"/>
          <w:sz w:val="24"/>
          <w:highlight w:val="none"/>
        </w:rPr>
      </w:pPr>
      <w:r>
        <w:rPr>
          <w:rFonts w:hint="eastAsia" w:ascii="宋体" w:hAnsi="宋体" w:cs="宋体"/>
          <w:b/>
          <w:color w:val="auto"/>
          <w:sz w:val="24"/>
          <w:highlight w:val="none"/>
        </w:rPr>
        <w:t>不可抗力事件处理</w:t>
      </w:r>
    </w:p>
    <w:p>
      <w:pPr>
        <w:tabs>
          <w:tab w:val="left" w:pos="0"/>
        </w:tabs>
        <w:snapToGrid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1、在合同有效期内，任何一方因不可抗力事件导致不能履行合同，则合同履行期可延长，其延长期与不可抗力影响期相同。</w:t>
      </w:r>
    </w:p>
    <w:p>
      <w:pPr>
        <w:tabs>
          <w:tab w:val="left" w:pos="0"/>
        </w:tabs>
        <w:snapToGrid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2、不可抗力事件发生后，应立即通知对方，并寄送有关权威机构出具的证明。</w:t>
      </w:r>
    </w:p>
    <w:p>
      <w:pPr>
        <w:tabs>
          <w:tab w:val="left" w:pos="0"/>
        </w:tabs>
        <w:snapToGrid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3、不可抗力事件延续</w:t>
      </w:r>
      <w:r>
        <w:rPr>
          <w:color w:val="auto"/>
          <w:szCs w:val="21"/>
          <w:highlight w:val="none"/>
          <w:u w:val="single"/>
          <w:lang w:eastAsia="zh-CN"/>
        </w:rPr>
        <w:t>15</w:t>
      </w:r>
      <w:r>
        <w:rPr>
          <w:rFonts w:hint="eastAsia" w:ascii="宋体" w:hAnsi="宋体" w:cs="宋体"/>
          <w:color w:val="auto"/>
          <w:sz w:val="24"/>
          <w:highlight w:val="none"/>
          <w:lang w:eastAsia="zh-CN"/>
        </w:rPr>
        <w:t>天以上，双方应通过友好协商，确定是否继续履行合同。</w:t>
      </w:r>
    </w:p>
    <w:p>
      <w:pPr>
        <w:numPr>
          <w:ilvl w:val="0"/>
          <w:numId w:val="2"/>
        </w:numPr>
        <w:autoSpaceDE/>
        <w:autoSpaceDN/>
        <w:snapToGrid w:val="0"/>
        <w:spacing w:line="360" w:lineRule="auto"/>
        <w:jc w:val="both"/>
        <w:rPr>
          <w:rFonts w:ascii="宋体" w:hAnsi="宋体" w:cs="宋体"/>
          <w:b/>
          <w:color w:val="auto"/>
          <w:sz w:val="24"/>
          <w:highlight w:val="none"/>
        </w:rPr>
      </w:pPr>
      <w:bookmarkStart w:id="13" w:name="_Toc211911353"/>
      <w:bookmarkStart w:id="14" w:name="_Toc251768867"/>
      <w:bookmarkStart w:id="15" w:name="_Toc247334846"/>
      <w:bookmarkStart w:id="16" w:name="_Toc212019599"/>
      <w:bookmarkStart w:id="17" w:name="_Toc239568423"/>
      <w:bookmarkStart w:id="18" w:name="_Toc185395254"/>
      <w:bookmarkStart w:id="19" w:name="_Toc239233919"/>
      <w:bookmarkStart w:id="20" w:name="_Toc241833908"/>
      <w:bookmarkStart w:id="21" w:name="_Toc211854454"/>
      <w:bookmarkStart w:id="22" w:name="_Toc225244857"/>
      <w:bookmarkStart w:id="23" w:name="_Toc225670756"/>
      <w:bookmarkStart w:id="24" w:name="_Toc232492933"/>
      <w:bookmarkStart w:id="25" w:name="_Toc286993792"/>
      <w:bookmarkStart w:id="26" w:name="_Toc237145411"/>
      <w:bookmarkStart w:id="27" w:name="_Toc225654649"/>
      <w:bookmarkStart w:id="28" w:name="_Toc238984980"/>
      <w:r>
        <w:rPr>
          <w:rFonts w:hint="eastAsia" w:ascii="宋体" w:hAnsi="宋体" w:cs="宋体"/>
          <w:b/>
          <w:color w:val="auto"/>
          <w:sz w:val="24"/>
          <w:highlight w:val="none"/>
        </w:rPr>
        <w:t>解决合同纠纷的方式</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pPr>
        <w:tabs>
          <w:tab w:val="left" w:pos="0"/>
        </w:tabs>
        <w:snapToGrid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在执行本合同中发生的或与本合同有关的争端，双方应通过友好协商解决，经协商不成的，由</w:t>
      </w:r>
      <w:r>
        <w:rPr>
          <w:rFonts w:hint="eastAsia" w:cs="宋体" w:asciiTheme="minorEastAsia" w:hAnsiTheme="minorEastAsia" w:eastAsiaTheme="minorEastAsia"/>
          <w:color w:val="auto"/>
          <w:sz w:val="24"/>
          <w:highlight w:val="none"/>
          <w:lang w:eastAsia="zh-CN"/>
        </w:rPr>
        <w:t>甲方所在地人民法院管辖裁决。</w:t>
      </w:r>
    </w:p>
    <w:p>
      <w:pPr>
        <w:numPr>
          <w:ilvl w:val="0"/>
          <w:numId w:val="2"/>
        </w:numPr>
        <w:autoSpaceDE/>
        <w:autoSpaceDN/>
        <w:snapToGrid w:val="0"/>
        <w:spacing w:line="360" w:lineRule="auto"/>
        <w:jc w:val="both"/>
        <w:rPr>
          <w:rFonts w:ascii="宋体" w:hAnsi="宋体" w:cs="宋体"/>
          <w:b/>
          <w:color w:val="auto"/>
          <w:sz w:val="24"/>
          <w:highlight w:val="none"/>
        </w:rPr>
      </w:pPr>
      <w:bookmarkStart w:id="29" w:name="_Toc247334847"/>
      <w:bookmarkStart w:id="30" w:name="_Toc239568424"/>
      <w:bookmarkStart w:id="31" w:name="_Toc238984981"/>
      <w:bookmarkStart w:id="32" w:name="_Toc241833909"/>
      <w:bookmarkStart w:id="33" w:name="_Toc286993793"/>
      <w:bookmarkStart w:id="34" w:name="_Toc237145412"/>
      <w:bookmarkStart w:id="35" w:name="_Toc225670757"/>
      <w:bookmarkStart w:id="36" w:name="_Toc225654650"/>
      <w:bookmarkStart w:id="37" w:name="_Toc282696231"/>
      <w:bookmarkStart w:id="38" w:name="_Toc185395255"/>
      <w:bookmarkStart w:id="39" w:name="_Toc211854455"/>
      <w:bookmarkStart w:id="40" w:name="_Toc211911354"/>
      <w:bookmarkStart w:id="41" w:name="_Toc232492934"/>
      <w:bookmarkStart w:id="42" w:name="_Toc239233920"/>
      <w:bookmarkStart w:id="43" w:name="_Toc251768868"/>
      <w:bookmarkStart w:id="44" w:name="_Toc212019600"/>
      <w:bookmarkStart w:id="45" w:name="_Toc283019219"/>
      <w:bookmarkStart w:id="46" w:name="_Toc225244858"/>
      <w:r>
        <w:rPr>
          <w:rFonts w:hint="eastAsia" w:ascii="宋体" w:hAnsi="宋体" w:cs="宋体"/>
          <w:b/>
          <w:color w:val="auto"/>
          <w:sz w:val="24"/>
          <w:highlight w:val="none"/>
        </w:rPr>
        <w:t>合同</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hint="eastAsia" w:ascii="宋体" w:hAnsi="宋体" w:cs="宋体"/>
          <w:b/>
          <w:color w:val="auto"/>
          <w:sz w:val="24"/>
          <w:highlight w:val="none"/>
        </w:rPr>
        <w:t>生效及其他</w:t>
      </w:r>
    </w:p>
    <w:p>
      <w:pPr>
        <w:pStyle w:val="25"/>
        <w:widowControl/>
        <w:snapToGrid w:val="0"/>
        <w:spacing w:line="360" w:lineRule="auto"/>
        <w:ind w:left="0" w:leftChars="0"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1、合同经双方法定代表人或授权委托代理人签字并加盖单位公章后生效。</w:t>
      </w:r>
    </w:p>
    <w:p>
      <w:pPr>
        <w:pStyle w:val="25"/>
        <w:widowControl/>
        <w:snapToGrid w:val="0"/>
        <w:spacing w:line="360" w:lineRule="auto"/>
        <w:ind w:left="0" w:leftChars="0"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2、合同执行中涉及采购资金和采购内容修改或补充的，须经政府采购监管部门审批，并签书面补充协议报政府采购监督管理部门备案，方可作为主合同不可分割的一部分。</w:t>
      </w:r>
    </w:p>
    <w:p>
      <w:pPr>
        <w:pStyle w:val="25"/>
        <w:widowControl/>
        <w:snapToGrid w:val="0"/>
        <w:spacing w:line="360" w:lineRule="auto"/>
        <w:ind w:left="0" w:leftChars="0" w:firstLine="0" w:firstLineChars="0"/>
        <w:rPr>
          <w:rFonts w:ascii="宋体" w:hAnsi="宋体" w:cs="宋体" w:eastAsiaTheme="minorEastAsia"/>
          <w:color w:val="auto"/>
          <w:sz w:val="24"/>
          <w:highlight w:val="none"/>
          <w:lang w:eastAsia="zh-CN"/>
        </w:rPr>
      </w:pPr>
      <w:r>
        <w:rPr>
          <w:rFonts w:hint="eastAsia" w:ascii="宋体" w:hAnsi="宋体" w:cs="宋体"/>
          <w:color w:val="auto"/>
          <w:sz w:val="24"/>
          <w:szCs w:val="24"/>
          <w:highlight w:val="none"/>
        </w:rPr>
        <w:t>3、本合同一式两份，甲方乙方双方各持</w:t>
      </w:r>
      <w:r>
        <w:rPr>
          <w:rFonts w:hint="eastAsia" w:ascii="宋体" w:hAnsi="宋体" w:cs="宋体"/>
          <w:color w:val="auto"/>
          <w:sz w:val="24"/>
          <w:szCs w:val="24"/>
          <w:highlight w:val="none"/>
          <w:lang w:eastAsia="zh-CN"/>
        </w:rPr>
        <w:t>一</w:t>
      </w:r>
      <w:r>
        <w:rPr>
          <w:rFonts w:hint="eastAsia" w:ascii="宋体" w:hAnsi="宋体" w:cs="宋体"/>
          <w:color w:val="auto"/>
          <w:sz w:val="24"/>
          <w:szCs w:val="24"/>
          <w:highlight w:val="none"/>
        </w:rPr>
        <w:t>份，具有同等法律效力。</w:t>
      </w:r>
    </w:p>
    <w:p>
      <w:pPr>
        <w:snapToGrid w:val="0"/>
        <w:spacing w:line="46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甲方：</w:t>
      </w:r>
      <w:r>
        <w:rPr>
          <w:rFonts w:hint="eastAsia" w:ascii="宋体" w:hAnsi="宋体" w:cs="宋体"/>
          <w:color w:val="auto"/>
          <w:sz w:val="24"/>
          <w:highlight w:val="none"/>
          <w:lang w:val="en-US" w:eastAsia="zh-CN"/>
        </w:rPr>
        <w:t>四川纹江致远建筑开发工程有限公司</w:t>
      </w:r>
      <w:r>
        <w:rPr>
          <w:rFonts w:hint="eastAsia" w:ascii="宋体" w:hAnsi="宋体" w:cs="宋体"/>
          <w:color w:val="auto"/>
          <w:sz w:val="24"/>
          <w:highlight w:val="none"/>
          <w:lang w:eastAsia="zh-CN"/>
        </w:rPr>
        <w:t>（盖章）</w:t>
      </w:r>
    </w:p>
    <w:p>
      <w:pPr>
        <w:snapToGrid w:val="0"/>
        <w:spacing w:line="46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法定代表人（授权代表）：</w:t>
      </w:r>
    </w:p>
    <w:p>
      <w:pPr>
        <w:snapToGrid w:val="0"/>
        <w:spacing w:line="46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地址：四川省德阳市罗江区雨村东路北段14号 </w:t>
      </w:r>
    </w:p>
    <w:p>
      <w:pPr>
        <w:snapToGrid w:val="0"/>
        <w:spacing w:line="46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电话：0838-3204530</w:t>
      </w:r>
    </w:p>
    <w:p>
      <w:pPr>
        <w:snapToGrid w:val="0"/>
        <w:spacing w:line="460" w:lineRule="exact"/>
        <w:ind w:firstLine="480" w:firstLineChars="20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lang w:eastAsia="zh-CN"/>
        </w:rPr>
        <w:t>签约日期：     年     月     日</w:t>
      </w:r>
    </w:p>
    <w:p>
      <w:pPr>
        <w:snapToGrid w:val="0"/>
        <w:spacing w:line="460" w:lineRule="exact"/>
        <w:ind w:firstLine="480" w:firstLineChars="200"/>
        <w:rPr>
          <w:rFonts w:ascii="宋体" w:hAnsi="宋体" w:cs="宋体" w:eastAsiaTheme="minorEastAsia"/>
          <w:color w:val="auto"/>
          <w:sz w:val="24"/>
          <w:highlight w:val="none"/>
          <w:lang w:eastAsia="zh-CN"/>
        </w:rPr>
      </w:pPr>
      <w:r>
        <w:rPr>
          <w:rFonts w:hint="eastAsia" w:ascii="宋体" w:hAnsi="宋体" w:cs="宋体"/>
          <w:color w:val="auto"/>
          <w:sz w:val="24"/>
          <w:highlight w:val="none"/>
          <w:lang w:eastAsia="zh-CN"/>
        </w:rPr>
        <w:t>乙方：</w:t>
      </w:r>
      <w:r>
        <w:rPr>
          <w:rFonts w:hint="eastAsia" w:ascii="宋体" w:hAnsi="宋体" w:cs="宋体" w:eastAsiaTheme="minorEastAsia"/>
          <w:color w:val="auto"/>
          <w:sz w:val="24"/>
          <w:highlight w:val="none"/>
          <w:lang w:val="en-US" w:eastAsia="zh-CN"/>
        </w:rPr>
        <w:t xml:space="preserve">                      </w:t>
      </w:r>
      <w:r>
        <w:rPr>
          <w:rFonts w:hint="eastAsia" w:ascii="宋体" w:hAnsi="宋体" w:cs="宋体" w:eastAsiaTheme="minorEastAsia"/>
          <w:color w:val="auto"/>
          <w:sz w:val="24"/>
          <w:highlight w:val="none"/>
          <w:lang w:eastAsia="zh-CN"/>
        </w:rPr>
        <w:t xml:space="preserve"> </w:t>
      </w:r>
      <w:r>
        <w:rPr>
          <w:rFonts w:hint="eastAsia" w:ascii="宋体" w:hAnsi="宋体" w:cs="宋体"/>
          <w:color w:val="auto"/>
          <w:sz w:val="24"/>
          <w:highlight w:val="none"/>
          <w:lang w:eastAsia="zh-CN"/>
        </w:rPr>
        <w:t>（盖章）</w:t>
      </w:r>
      <w:r>
        <w:rPr>
          <w:rFonts w:hint="eastAsia" w:ascii="宋体" w:hAnsi="宋体" w:cs="宋体"/>
          <w:color w:val="auto"/>
          <w:sz w:val="24"/>
          <w:highlight w:val="none"/>
          <w:lang w:eastAsia="zh-CN"/>
        </w:rPr>
        <w:tab/>
      </w:r>
      <w:r>
        <w:rPr>
          <w:rFonts w:hint="eastAsia" w:ascii="宋体" w:hAnsi="宋体" w:cs="宋体"/>
          <w:color w:val="auto"/>
          <w:sz w:val="24"/>
          <w:highlight w:val="none"/>
          <w:lang w:eastAsia="zh-CN"/>
        </w:rPr>
        <w:tab/>
      </w:r>
      <w:r>
        <w:rPr>
          <w:rFonts w:hint="eastAsia" w:ascii="宋体" w:hAnsi="宋体" w:cs="宋体"/>
          <w:color w:val="auto"/>
          <w:sz w:val="24"/>
          <w:highlight w:val="none"/>
          <w:lang w:eastAsia="zh-CN"/>
        </w:rPr>
        <w:tab/>
      </w:r>
    </w:p>
    <w:p>
      <w:pPr>
        <w:snapToGrid w:val="0"/>
        <w:spacing w:line="460" w:lineRule="exact"/>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法定代表人（授权代表）：</w:t>
      </w:r>
    </w:p>
    <w:p>
      <w:pPr>
        <w:snapToGrid w:val="0"/>
        <w:spacing w:line="460" w:lineRule="exact"/>
        <w:ind w:firstLine="480" w:firstLineChars="200"/>
        <w:rPr>
          <w:rFonts w:ascii="宋体" w:hAnsi="宋体" w:cs="宋体" w:eastAsiaTheme="minorEastAsia"/>
          <w:color w:val="auto"/>
          <w:sz w:val="24"/>
          <w:highlight w:val="none"/>
          <w:lang w:eastAsia="zh-CN"/>
        </w:rPr>
      </w:pPr>
      <w:r>
        <w:rPr>
          <w:rFonts w:hint="eastAsia" w:ascii="宋体" w:hAnsi="宋体" w:cs="宋体"/>
          <w:color w:val="auto"/>
          <w:sz w:val="24"/>
          <w:highlight w:val="none"/>
          <w:lang w:eastAsia="zh-CN"/>
        </w:rPr>
        <w:t>地址：</w:t>
      </w:r>
      <w:r>
        <w:rPr>
          <w:rFonts w:hint="eastAsia" w:ascii="宋体" w:hAnsi="Courier New" w:eastAsia="宋体" w:cs="Times New Roman"/>
          <w:color w:val="auto"/>
          <w:kern w:val="2"/>
          <w:sz w:val="24"/>
          <w:szCs w:val="24"/>
          <w:highlight w:val="none"/>
          <w:lang w:val="en-US" w:eastAsia="zh-CN"/>
        </w:rPr>
        <w:t xml:space="preserve"> </w:t>
      </w:r>
    </w:p>
    <w:p>
      <w:pPr>
        <w:snapToGrid w:val="0"/>
        <w:spacing w:line="460" w:lineRule="exact"/>
        <w:ind w:firstLine="480" w:firstLineChars="200"/>
        <w:rPr>
          <w:rFonts w:hint="default" w:ascii="宋体" w:hAnsi="宋体" w:cs="宋体" w:eastAsiaTheme="minorEastAsia"/>
          <w:color w:val="auto"/>
          <w:sz w:val="24"/>
          <w:highlight w:val="none"/>
          <w:lang w:val="en-US" w:eastAsia="zh-CN"/>
        </w:rPr>
      </w:pPr>
      <w:r>
        <w:rPr>
          <w:rFonts w:hint="eastAsia" w:ascii="宋体" w:hAnsi="宋体" w:eastAsia="宋体" w:cs="宋体"/>
          <w:color w:val="auto"/>
          <w:sz w:val="24"/>
          <w:highlight w:val="none"/>
          <w:lang w:eastAsia="zh-CN"/>
        </w:rPr>
        <w:t>电话：</w:t>
      </w:r>
      <w:r>
        <w:rPr>
          <w:rFonts w:hint="eastAsia" w:ascii="宋体" w:hAnsi="宋体" w:cs="宋体" w:eastAsiaTheme="minorEastAsia"/>
          <w:color w:val="auto"/>
          <w:sz w:val="24"/>
          <w:highlight w:val="none"/>
          <w:lang w:eastAsia="zh-CN"/>
        </w:rPr>
        <w:t xml:space="preserve"> </w:t>
      </w:r>
      <w:r>
        <w:rPr>
          <w:rFonts w:hint="eastAsia" w:ascii="宋体" w:hAnsi="宋体" w:cs="宋体" w:eastAsiaTheme="minorEastAsia"/>
          <w:color w:val="auto"/>
          <w:sz w:val="24"/>
          <w:highlight w:val="none"/>
          <w:lang w:val="en-US" w:eastAsia="zh-CN"/>
        </w:rPr>
        <w:t xml:space="preserve"> </w:t>
      </w:r>
    </w:p>
    <w:p>
      <w:pPr>
        <w:spacing w:line="400" w:lineRule="exact"/>
        <w:ind w:right="-764" w:rightChars="-364" w:firstLine="480" w:firstLineChars="200"/>
        <w:rPr>
          <w:rFonts w:ascii="宋体" w:hAnsi="宋体" w:cs="宋体" w:eastAsiaTheme="minorEastAsia"/>
          <w:color w:val="auto"/>
          <w:sz w:val="24"/>
          <w:highlight w:val="none"/>
          <w:lang w:eastAsia="zh-CN"/>
        </w:rPr>
      </w:pPr>
      <w:r>
        <w:rPr>
          <w:rFonts w:hint="eastAsia" w:ascii="宋体" w:hAnsi="宋体" w:cs="宋体"/>
          <w:color w:val="auto"/>
          <w:sz w:val="24"/>
          <w:highlight w:val="none"/>
          <w:lang w:eastAsia="zh-CN"/>
        </w:rPr>
        <w:t>签约日期：</w:t>
      </w:r>
      <w:r>
        <w:rPr>
          <w:rFonts w:hint="eastAsia" w:ascii="宋体" w:hAnsi="宋体" w:cs="宋体" w:eastAsiaTheme="minorEastAsia"/>
          <w:color w:val="auto"/>
          <w:sz w:val="24"/>
          <w:highlight w:val="none"/>
          <w:lang w:eastAsia="zh-CN"/>
        </w:rPr>
        <w:t xml:space="preserve">     </w:t>
      </w:r>
      <w:r>
        <w:rPr>
          <w:rFonts w:hint="eastAsia" w:ascii="宋体" w:hAnsi="宋体" w:cs="宋体"/>
          <w:color w:val="auto"/>
          <w:sz w:val="24"/>
          <w:highlight w:val="none"/>
          <w:lang w:eastAsia="zh-CN"/>
        </w:rPr>
        <w:t>年</w:t>
      </w:r>
      <w:r>
        <w:rPr>
          <w:rFonts w:hint="eastAsia" w:ascii="宋体" w:hAnsi="宋体" w:cs="宋体" w:eastAsiaTheme="minorEastAsia"/>
          <w:color w:val="auto"/>
          <w:sz w:val="24"/>
          <w:highlight w:val="none"/>
          <w:lang w:eastAsia="zh-CN"/>
        </w:rPr>
        <w:t xml:space="preserve">     </w:t>
      </w:r>
      <w:r>
        <w:rPr>
          <w:rFonts w:hint="eastAsia" w:ascii="宋体" w:hAnsi="宋体" w:cs="宋体"/>
          <w:color w:val="auto"/>
          <w:sz w:val="24"/>
          <w:highlight w:val="none"/>
          <w:lang w:eastAsia="zh-CN"/>
        </w:rPr>
        <w:t>月</w:t>
      </w:r>
      <w:r>
        <w:rPr>
          <w:rFonts w:hint="eastAsia" w:ascii="宋体" w:hAnsi="宋体" w:cs="宋体" w:eastAsiaTheme="minorEastAsia"/>
          <w:color w:val="auto"/>
          <w:sz w:val="24"/>
          <w:highlight w:val="none"/>
          <w:lang w:eastAsia="zh-CN"/>
        </w:rPr>
        <w:t xml:space="preserve">     </w:t>
      </w:r>
      <w:r>
        <w:rPr>
          <w:rFonts w:hint="eastAsia" w:ascii="宋体" w:hAnsi="宋体" w:cs="宋体"/>
          <w:color w:val="auto"/>
          <w:sz w:val="24"/>
          <w:highlight w:val="none"/>
          <w:lang w:eastAsia="zh-CN"/>
        </w:rPr>
        <w:t>日</w:t>
      </w:r>
    </w:p>
    <w:p>
      <w:pPr>
        <w:topLinePunct/>
        <w:spacing w:before="159" w:beforeLines="50" w:after="159" w:afterLines="50" w:line="600" w:lineRule="exact"/>
        <w:ind w:firstLine="1120" w:firstLineChars="400"/>
        <w:jc w:val="right"/>
        <w:rPr>
          <w:rFonts w:hAnsi="宋体"/>
          <w:sz w:val="28"/>
          <w:szCs w:val="28"/>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Heiti SC">
    <w:altName w:val="宋体"/>
    <w:panose1 w:val="00000000000000000000"/>
    <w:charset w:val="86"/>
    <w:family w:val="auto"/>
    <w:pitch w:val="default"/>
    <w:sig w:usb0="00000000" w:usb1="00000000" w:usb2="00000010" w:usb3="00000000" w:csb0="003E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8"/>
      </w:rPr>
    </w:pPr>
    <w:r>
      <w:fldChar w:fldCharType="begin"/>
    </w:r>
    <w:r>
      <w:rPr>
        <w:rStyle w:val="18"/>
      </w:rPr>
      <w:instrText xml:space="preserve">PAGE  </w:instrText>
    </w:r>
    <w:r>
      <w:fldChar w:fldCharType="end"/>
    </w:r>
  </w:p>
  <w:p>
    <w:pPr>
      <w:pStyle w:val="1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81E1A"/>
    <w:multiLevelType w:val="multilevel"/>
    <w:tmpl w:val="07881E1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5AB90C2A"/>
    <w:multiLevelType w:val="multilevel"/>
    <w:tmpl w:val="5AB90C2A"/>
    <w:lvl w:ilvl="0" w:tentative="0">
      <w:start w:val="1"/>
      <w:numFmt w:val="japaneseCounting"/>
      <w:lvlText w:val="第%1条"/>
      <w:lvlJc w:val="left"/>
      <w:pPr>
        <w:tabs>
          <w:tab w:val="left" w:pos="1521"/>
        </w:tabs>
        <w:ind w:left="1521" w:hanging="109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0AE39CC"/>
    <w:multiLevelType w:val="multilevel"/>
    <w:tmpl w:val="60AE39CC"/>
    <w:lvl w:ilvl="0" w:tentative="0">
      <w:start w:val="1"/>
      <w:numFmt w:val="none"/>
      <w:pStyle w:val="4"/>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6"/>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N2M5OWQwMGM5OTllOWMyZTNjNDUxMTEwOTQ0MTYifQ=="/>
  </w:docVars>
  <w:rsids>
    <w:rsidRoot w:val="6994303F"/>
    <w:rsid w:val="000074A2"/>
    <w:rsid w:val="000776B0"/>
    <w:rsid w:val="002F78F1"/>
    <w:rsid w:val="003111BB"/>
    <w:rsid w:val="003E7F92"/>
    <w:rsid w:val="00687DC2"/>
    <w:rsid w:val="00706BBC"/>
    <w:rsid w:val="009D2356"/>
    <w:rsid w:val="00AF5F69"/>
    <w:rsid w:val="00B90F52"/>
    <w:rsid w:val="00CF0791"/>
    <w:rsid w:val="00D423A7"/>
    <w:rsid w:val="00E315C4"/>
    <w:rsid w:val="00E3624C"/>
    <w:rsid w:val="00E87459"/>
    <w:rsid w:val="00F42DF3"/>
    <w:rsid w:val="03263852"/>
    <w:rsid w:val="03D42D88"/>
    <w:rsid w:val="04D2154D"/>
    <w:rsid w:val="04F30DC1"/>
    <w:rsid w:val="07044238"/>
    <w:rsid w:val="080C016C"/>
    <w:rsid w:val="090325F5"/>
    <w:rsid w:val="096B402C"/>
    <w:rsid w:val="0B2B20E1"/>
    <w:rsid w:val="0B4025B3"/>
    <w:rsid w:val="0C133F3D"/>
    <w:rsid w:val="0C6A0B4B"/>
    <w:rsid w:val="0D8D2B5B"/>
    <w:rsid w:val="0EC94A60"/>
    <w:rsid w:val="0F3D74BE"/>
    <w:rsid w:val="0FEA5294"/>
    <w:rsid w:val="11A44083"/>
    <w:rsid w:val="122017A6"/>
    <w:rsid w:val="12EF0FCF"/>
    <w:rsid w:val="134628D2"/>
    <w:rsid w:val="14075F21"/>
    <w:rsid w:val="15D32070"/>
    <w:rsid w:val="17006B5C"/>
    <w:rsid w:val="173F5018"/>
    <w:rsid w:val="17522AF1"/>
    <w:rsid w:val="17CA1E2D"/>
    <w:rsid w:val="183B0783"/>
    <w:rsid w:val="18A27F3E"/>
    <w:rsid w:val="1B1F642C"/>
    <w:rsid w:val="1B401882"/>
    <w:rsid w:val="1B4629E7"/>
    <w:rsid w:val="1B8A7181"/>
    <w:rsid w:val="1B930E12"/>
    <w:rsid w:val="1C8064CE"/>
    <w:rsid w:val="1EC37BA4"/>
    <w:rsid w:val="1EE974FB"/>
    <w:rsid w:val="1FC92426"/>
    <w:rsid w:val="25404B79"/>
    <w:rsid w:val="257D5FE9"/>
    <w:rsid w:val="26152C8D"/>
    <w:rsid w:val="267F0EBD"/>
    <w:rsid w:val="28340B33"/>
    <w:rsid w:val="29022E55"/>
    <w:rsid w:val="29194529"/>
    <w:rsid w:val="29DC2045"/>
    <w:rsid w:val="2BEF7E86"/>
    <w:rsid w:val="2E230525"/>
    <w:rsid w:val="2E3253DB"/>
    <w:rsid w:val="2E5A0124"/>
    <w:rsid w:val="2E8F132A"/>
    <w:rsid w:val="2FAE7A30"/>
    <w:rsid w:val="30670701"/>
    <w:rsid w:val="3246008D"/>
    <w:rsid w:val="330C357F"/>
    <w:rsid w:val="332110E3"/>
    <w:rsid w:val="34080C24"/>
    <w:rsid w:val="36411862"/>
    <w:rsid w:val="371369FA"/>
    <w:rsid w:val="38B97C2C"/>
    <w:rsid w:val="38CF7F8E"/>
    <w:rsid w:val="39D65D2C"/>
    <w:rsid w:val="3A1C0AF2"/>
    <w:rsid w:val="3C9B3AE5"/>
    <w:rsid w:val="3E247ED9"/>
    <w:rsid w:val="3E3605AE"/>
    <w:rsid w:val="3E707905"/>
    <w:rsid w:val="409E05B5"/>
    <w:rsid w:val="41126832"/>
    <w:rsid w:val="457A19C1"/>
    <w:rsid w:val="46620D81"/>
    <w:rsid w:val="46790A61"/>
    <w:rsid w:val="49FD5B88"/>
    <w:rsid w:val="4AD666A0"/>
    <w:rsid w:val="4CD5073F"/>
    <w:rsid w:val="4E132FD6"/>
    <w:rsid w:val="4E5F5325"/>
    <w:rsid w:val="4E8D5F09"/>
    <w:rsid w:val="4F125B07"/>
    <w:rsid w:val="51F00736"/>
    <w:rsid w:val="52D37CB1"/>
    <w:rsid w:val="533262A2"/>
    <w:rsid w:val="53AC19DB"/>
    <w:rsid w:val="5666432D"/>
    <w:rsid w:val="56F055E7"/>
    <w:rsid w:val="585E682C"/>
    <w:rsid w:val="5C891470"/>
    <w:rsid w:val="5E2C3DF6"/>
    <w:rsid w:val="5E950DC8"/>
    <w:rsid w:val="5F3A628F"/>
    <w:rsid w:val="5FED02E7"/>
    <w:rsid w:val="60087B7B"/>
    <w:rsid w:val="60116B1A"/>
    <w:rsid w:val="610B5B53"/>
    <w:rsid w:val="619D4E8D"/>
    <w:rsid w:val="625F3E24"/>
    <w:rsid w:val="62793518"/>
    <w:rsid w:val="63476C31"/>
    <w:rsid w:val="661936BE"/>
    <w:rsid w:val="678F24AA"/>
    <w:rsid w:val="67FA4881"/>
    <w:rsid w:val="6994303F"/>
    <w:rsid w:val="6DFE3CBA"/>
    <w:rsid w:val="6E32167F"/>
    <w:rsid w:val="72F11D24"/>
    <w:rsid w:val="75020D41"/>
    <w:rsid w:val="79E206A8"/>
    <w:rsid w:val="79FD1466"/>
    <w:rsid w:val="7A062643"/>
    <w:rsid w:val="7A0F3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1"/>
      <w:szCs w:val="22"/>
      <w:lang w:val="en-US" w:eastAsia="zh-CN" w:bidi="ar-SA"/>
    </w:rPr>
  </w:style>
  <w:style w:type="paragraph" w:styleId="4">
    <w:name w:val="heading 1"/>
    <w:basedOn w:val="1"/>
    <w:next w:val="1"/>
    <w:qFormat/>
    <w:uiPriority w:val="0"/>
    <w:pPr>
      <w:keepNext/>
      <w:numPr>
        <w:ilvl w:val="0"/>
        <w:numId w:val="1"/>
      </w:numPr>
      <w:jc w:val="center"/>
      <w:outlineLvl w:val="0"/>
    </w:pPr>
    <w:rPr>
      <w:rFonts w:ascii="黑体" w:hAnsi="宋体" w:eastAsia="黑体" w:cs="宋体"/>
      <w:sz w:val="52"/>
    </w:rPr>
  </w:style>
  <w:style w:type="paragraph" w:styleId="5">
    <w:name w:val="heading 2"/>
    <w:basedOn w:val="1"/>
    <w:next w:val="1"/>
    <w:semiHidden/>
    <w:unhideWhenUsed/>
    <w:qFormat/>
    <w:uiPriority w:val="0"/>
    <w:pPr>
      <w:spacing w:beforeAutospacing="1" w:afterAutospacing="1"/>
      <w:outlineLvl w:val="1"/>
    </w:pPr>
    <w:rPr>
      <w:rFonts w:hint="eastAsia" w:ascii="宋体" w:hAnsi="宋体" w:eastAsia="宋体" w:cs="Times New Roman"/>
      <w:b/>
      <w:sz w:val="36"/>
      <w:szCs w:val="36"/>
    </w:rPr>
  </w:style>
  <w:style w:type="paragraph" w:styleId="6">
    <w:name w:val="heading 3"/>
    <w:basedOn w:val="1"/>
    <w:next w:val="1"/>
    <w:unhideWhenUsed/>
    <w:qFormat/>
    <w:uiPriority w:val="0"/>
    <w:pPr>
      <w:keepNext/>
      <w:keepLines/>
      <w:numPr>
        <w:ilvl w:val="2"/>
        <w:numId w:val="1"/>
      </w:numPr>
      <w:spacing w:before="120" w:after="120" w:line="360" w:lineRule="auto"/>
      <w:jc w:val="center"/>
      <w:outlineLvl w:val="2"/>
    </w:pPr>
    <w:rPr>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customStyle="1" w:styleId="3">
    <w:name w:val="引用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7">
    <w:name w:val="Normal Indent"/>
    <w:basedOn w:val="1"/>
    <w:qFormat/>
    <w:uiPriority w:val="0"/>
    <w:pPr>
      <w:ind w:firstLine="420" w:firstLineChars="200"/>
    </w:pPr>
  </w:style>
  <w:style w:type="paragraph" w:styleId="8">
    <w:name w:val="Plain Text"/>
    <w:basedOn w:val="1"/>
    <w:qFormat/>
    <w:uiPriority w:val="0"/>
    <w:pPr>
      <w:jc w:val="both"/>
    </w:pPr>
    <w:rPr>
      <w:rFonts w:ascii="宋体" w:hAnsi="Courier New" w:eastAsia="宋体" w:cs="Times New Roman"/>
      <w:kern w:val="2"/>
      <w:szCs w:val="20"/>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Body Text Indent 3"/>
    <w:basedOn w:val="1"/>
    <w:qFormat/>
    <w:uiPriority w:val="0"/>
    <w:pPr>
      <w:spacing w:line="360" w:lineRule="auto"/>
      <w:ind w:firstLine="540"/>
      <w:jc w:val="both"/>
    </w:pPr>
    <w:rPr>
      <w:rFonts w:ascii="Times New Roman" w:hAnsi="Times New Roman" w:eastAsia="宋体" w:cs="Times New Roman"/>
      <w:kern w:val="2"/>
      <w:sz w:val="24"/>
      <w:szCs w:val="20"/>
    </w:rPr>
  </w:style>
  <w:style w:type="paragraph" w:styleId="12">
    <w:name w:val="Normal (Web)"/>
    <w:basedOn w:val="1"/>
    <w:qFormat/>
    <w:uiPriority w:val="0"/>
    <w:pPr>
      <w:spacing w:beforeAutospacing="1" w:afterAutospacing="1"/>
    </w:pPr>
    <w:rPr>
      <w:rFonts w:cs="Times New Roman"/>
      <w:sz w:val="24"/>
    </w:rPr>
  </w:style>
  <w:style w:type="paragraph" w:styleId="13">
    <w:name w:val="Title"/>
    <w:basedOn w:val="1"/>
    <w:next w:val="1"/>
    <w:qFormat/>
    <w:uiPriority w:val="0"/>
    <w:pPr>
      <w:spacing w:before="240" w:after="60"/>
      <w:jc w:val="center"/>
      <w:outlineLvl w:val="0"/>
    </w:pPr>
    <w:rPr>
      <w:rFonts w:ascii="DengXian Light" w:hAnsi="DengXian Light" w:cs="Times New Roman"/>
      <w:b/>
      <w:bCs/>
      <w:sz w:val="32"/>
      <w:szCs w:val="32"/>
    </w:rPr>
  </w:style>
  <w:style w:type="paragraph" w:styleId="14">
    <w:name w:val="Body Text First Indent"/>
    <w:basedOn w:val="2"/>
    <w:qFormat/>
    <w:uiPriority w:val="0"/>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customStyle="1" w:styleId="19">
    <w:name w:val="font41"/>
    <w:basedOn w:val="17"/>
    <w:qFormat/>
    <w:uiPriority w:val="0"/>
    <w:rPr>
      <w:rFonts w:hint="eastAsia" w:ascii="宋体" w:hAnsi="宋体" w:eastAsia="宋体" w:cs="宋体"/>
      <w:color w:val="000000"/>
      <w:sz w:val="20"/>
      <w:szCs w:val="20"/>
      <w:u w:val="none"/>
    </w:rPr>
  </w:style>
  <w:style w:type="character" w:customStyle="1" w:styleId="20">
    <w:name w:val="font11"/>
    <w:basedOn w:val="17"/>
    <w:qFormat/>
    <w:uiPriority w:val="0"/>
    <w:rPr>
      <w:rFonts w:hint="eastAsia" w:ascii="宋体" w:hAnsi="宋体" w:eastAsia="宋体" w:cs="宋体"/>
      <w:color w:val="000000"/>
      <w:sz w:val="20"/>
      <w:szCs w:val="20"/>
      <w:u w:val="single"/>
    </w:rPr>
  </w:style>
  <w:style w:type="paragraph" w:styleId="21">
    <w:name w:val="List Paragraph"/>
    <w:basedOn w:val="1"/>
    <w:qFormat/>
    <w:uiPriority w:val="34"/>
    <w:pPr>
      <w:ind w:firstLine="420" w:firstLineChars="200"/>
    </w:pPr>
  </w:style>
  <w:style w:type="paragraph" w:customStyle="1" w:styleId="22">
    <w:name w:val="Table Paragraph"/>
    <w:basedOn w:val="1"/>
    <w:qFormat/>
    <w:uiPriority w:val="1"/>
    <w:rPr>
      <w:rFonts w:ascii="宋体" w:hAnsi="宋体" w:cs="宋体"/>
      <w:lang w:val="zh-CN" w:bidi="zh-CN"/>
    </w:rPr>
  </w:style>
  <w:style w:type="paragraph" w:customStyle="1" w:styleId="23">
    <w:name w:val="正文 + 首行缩进:  2 字符"/>
    <w:basedOn w:val="1"/>
    <w:qFormat/>
    <w:uiPriority w:val="0"/>
    <w:pPr>
      <w:ind w:firstLine="480" w:firstLineChars="200"/>
    </w:pPr>
    <w:rPr>
      <w:rFonts w:ascii="Times New Roman" w:hAnsi="Times New Roman" w:cs="宋体"/>
      <w:szCs w:val="20"/>
    </w:rPr>
  </w:style>
  <w:style w:type="paragraph" w:customStyle="1" w:styleId="24">
    <w:name w:val="样式 首行缩进:  2 字符"/>
    <w:basedOn w:val="1"/>
    <w:qFormat/>
    <w:uiPriority w:val="0"/>
    <w:pPr>
      <w:spacing w:line="400" w:lineRule="exact"/>
      <w:ind w:firstLine="200" w:firstLineChars="200"/>
      <w:jc w:val="both"/>
    </w:pPr>
    <w:rPr>
      <w:rFonts w:ascii="Calibri" w:hAnsi="Calibri" w:eastAsia="宋体" w:cs="宋体"/>
      <w:kern w:val="2"/>
      <w:sz w:val="24"/>
      <w:szCs w:val="24"/>
    </w:rPr>
  </w:style>
  <w:style w:type="paragraph" w:customStyle="1" w:styleId="25">
    <w:name w:val="msolistparagraph"/>
    <w:basedOn w:val="1"/>
    <w:qFormat/>
    <w:uiPriority w:val="0"/>
    <w:pPr>
      <w:ind w:firstLine="420" w:firstLineChars="200"/>
      <w:jc w:val="both"/>
    </w:pPr>
    <w:rPr>
      <w:rFonts w:ascii="Calibri" w:hAnsi="Calibri" w:eastAsia="宋体" w:cs="Calibri"/>
      <w:kern w:val="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17199</Words>
  <Characters>17398</Characters>
  <Lines>119</Lines>
  <Paragraphs>33</Paragraphs>
  <TotalTime>7</TotalTime>
  <ScaleCrop>false</ScaleCrop>
  <LinksUpToDate>false</LinksUpToDate>
  <CharactersWithSpaces>17789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2018-01-31T07:03:00Z</dcterms:created>
  <dc:creator>菠萝味糖糖</dc:creator>
  <cp:lastModifiedBy>Administrator</cp:lastModifiedBy>
  <cp:lastPrinted>2019-04-19T02:47:00Z</cp:lastPrinted>
  <dcterms:modified xsi:type="dcterms:W3CDTF">2022-05-26T01:17:37Z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BBFF239232E342FA896805899DC060FF</vt:lpwstr>
  </property>
  <property fmtid="{D5CDD505-2E9C-101B-9397-08002B2CF9AE}" pid="4" name="commondata">
    <vt:lpwstr>eyJoZGlkIjoiMzEzNTQxMTk2OWQ3Zjc2ZmQ2NmIzZTRiYmRhNWMyMzQifQ==</vt:lpwstr>
  </property>
</Properties>
</file>