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r>
        <w:rPr>
          <w:rFonts w:hint="eastAsia" w:ascii="黑体" w:hAnsi="黑体" w:eastAsia="黑体"/>
          <w:b/>
          <w:sz w:val="52"/>
          <w:szCs w:val="52"/>
          <w:lang w:val="en-US" w:eastAsia="zh-CN"/>
        </w:rPr>
        <w:t>跑马山</w:t>
      </w:r>
      <w:r>
        <w:rPr>
          <w:rFonts w:hint="eastAsia" w:ascii="黑体" w:hAnsi="黑体" w:eastAsia="黑体"/>
          <w:b/>
          <w:sz w:val="52"/>
          <w:szCs w:val="52"/>
        </w:rPr>
        <w:t>大桥</w:t>
      </w:r>
      <w:r>
        <w:rPr>
          <w:rFonts w:hint="eastAsia" w:ascii="黑体" w:hAnsi="黑体" w:eastAsia="黑体"/>
          <w:b/>
          <w:sz w:val="52"/>
          <w:szCs w:val="52"/>
          <w:lang w:val="en-US" w:eastAsia="zh-CN"/>
        </w:rPr>
        <w:t>钢护栏</w:t>
      </w:r>
    </w:p>
    <w:p>
      <w:pPr>
        <w:jc w:val="center"/>
        <w:rPr>
          <w:rFonts w:eastAsia="黑体"/>
          <w:b/>
          <w:sz w:val="52"/>
          <w:szCs w:val="52"/>
        </w:rPr>
      </w:pP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30407</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4</w:t>
      </w:r>
      <w:r>
        <w:rPr>
          <w:rFonts w:hint="eastAsia" w:ascii="黑体" w:hAnsi="黑体" w:eastAsia="黑体"/>
          <w:sz w:val="32"/>
          <w:szCs w:val="32"/>
        </w:rPr>
        <w:t>月</w:t>
      </w:r>
      <w:r>
        <w:rPr>
          <w:rFonts w:hint="eastAsia" w:ascii="黑体" w:hAnsi="黑体" w:eastAsia="黑体"/>
          <w:sz w:val="32"/>
          <w:szCs w:val="32"/>
          <w:lang w:val="en-US" w:eastAsia="zh-CN"/>
        </w:rPr>
        <w:t>7</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跑马山</w:t>
      </w:r>
      <w:r>
        <w:rPr>
          <w:rFonts w:hint="eastAsia"/>
          <w:color w:val="000000" w:themeColor="text1"/>
          <w:sz w:val="24"/>
          <w14:textFill>
            <w14:solidFill>
              <w14:schemeClr w14:val="tx1"/>
            </w14:solidFill>
          </w14:textFill>
        </w:rPr>
        <w:t>大桥</w:t>
      </w:r>
      <w:r>
        <w:rPr>
          <w:rFonts w:hint="eastAsia"/>
          <w:color w:val="000000" w:themeColor="text1"/>
          <w:sz w:val="24"/>
          <w:lang w:val="en-US" w:eastAsia="zh-CN"/>
          <w14:textFill>
            <w14:solidFill>
              <w14:schemeClr w14:val="tx1"/>
            </w14:solidFill>
          </w14:textFill>
        </w:rPr>
        <w:t>钢护栏</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D</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58.993</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w:t>
      </w:r>
      <w:r>
        <w:rPr>
          <w:rFonts w:hint="eastAsia"/>
          <w:color w:val="000000" w:themeColor="text1"/>
          <w:sz w:val="24"/>
          <w:lang w:val="en-US" w:eastAsia="zh-CN"/>
          <w14:textFill>
            <w14:solidFill>
              <w14:schemeClr w14:val="tx1"/>
            </w14:solidFill>
          </w14:textFill>
        </w:rPr>
        <w:t>四川省成都市新津区</w:t>
      </w:r>
      <w:r>
        <w:rPr>
          <w:rFonts w:hint="eastAsia"/>
          <w:color w:val="000000" w:themeColor="text1"/>
          <w:sz w:val="24"/>
          <w14:textFill>
            <w14:solidFill>
              <w14:schemeClr w14:val="tx1"/>
            </w14:solidFill>
          </w14:textFill>
        </w:rPr>
        <w:t>。</w:t>
      </w:r>
    </w:p>
    <w:p>
      <w:pPr>
        <w:spacing w:line="360" w:lineRule="auto"/>
        <w:ind w:firstLine="480" w:firstLineChars="200"/>
        <w:rPr>
          <w:lang w:val="en-US" w:bidi="ar-SA"/>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8</w:t>
      </w:r>
      <w:bookmarkStart w:id="0" w:name="_GoBack"/>
      <w:bookmarkEnd w:id="0"/>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77" w:type="pct"/>
        <w:tblInd w:w="0" w:type="dxa"/>
        <w:tblLayout w:type="autofit"/>
        <w:tblCellMar>
          <w:top w:w="0" w:type="dxa"/>
          <w:left w:w="28" w:type="dxa"/>
          <w:bottom w:w="0" w:type="dxa"/>
          <w:right w:w="0" w:type="dxa"/>
        </w:tblCellMar>
      </w:tblPr>
      <w:tblGrid>
        <w:gridCol w:w="509"/>
        <w:gridCol w:w="798"/>
        <w:gridCol w:w="1814"/>
        <w:gridCol w:w="984"/>
        <w:gridCol w:w="1053"/>
        <w:gridCol w:w="966"/>
        <w:gridCol w:w="1265"/>
        <w:gridCol w:w="972"/>
        <w:gridCol w:w="1259"/>
        <w:gridCol w:w="1619"/>
        <w:gridCol w:w="1490"/>
        <w:gridCol w:w="1292"/>
        <w:gridCol w:w="972"/>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7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49"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2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2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37"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1"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3"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7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9"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2"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40"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1"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rPr>
          <w:trHeight w:val="510" w:hRule="atLeast"/>
        </w:trPr>
        <w:tc>
          <w:tcPr>
            <w:tcW w:w="17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2460</w:t>
            </w:r>
          </w:p>
        </w:tc>
        <w:tc>
          <w:tcPr>
            <w:tcW w:w="4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9650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13</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29.068 </w:t>
            </w:r>
          </w:p>
        </w:tc>
        <w:tc>
          <w:tcPr>
            <w:tcW w:w="5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2460</w:t>
            </w:r>
          </w:p>
        </w:tc>
        <w:tc>
          <w:tcPr>
            <w:tcW w:w="4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9620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11.145 </w:t>
            </w:r>
          </w:p>
        </w:tc>
        <w:tc>
          <w:tcPr>
            <w:tcW w:w="5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3</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60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Q355D</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20</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2500</w:t>
            </w:r>
          </w:p>
        </w:tc>
        <w:tc>
          <w:tcPr>
            <w:tcW w:w="4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9570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18.780 </w:t>
            </w:r>
          </w:p>
        </w:tc>
        <w:tc>
          <w:tcPr>
            <w:tcW w:w="5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3"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2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42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23</w:t>
            </w:r>
          </w:p>
        </w:tc>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58.993 </w:t>
            </w:r>
          </w:p>
        </w:tc>
        <w:tc>
          <w:tcPr>
            <w:tcW w:w="54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2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eastAsia="zh-CN"/>
              </w:rPr>
              <w:t>；</w:t>
            </w:r>
            <w:r>
              <w:rPr>
                <w:rFonts w:hint="eastAsia"/>
                <w:lang w:val="en-US" w:eastAsia="zh-CN"/>
              </w:rPr>
              <w:t>3.特殊要求：-20℃冲击功不小于34J。</w:t>
            </w:r>
          </w:p>
        </w:tc>
      </w:tr>
      <w:tr>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2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5"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line="500" w:lineRule="exact"/>
        <w:ind w:firstLine="458" w:firstLineChars="200"/>
        <w:rPr>
          <w:w w:val="82"/>
          <w:kern w:val="0"/>
          <w:sz w:val="28"/>
          <w:szCs w:val="28"/>
        </w:rPr>
      </w:pPr>
      <w:r>
        <w:rPr>
          <w:rFonts w:hint="eastAsia"/>
          <w:w w:val="82"/>
          <w:kern w:val="0"/>
          <w:sz w:val="28"/>
          <w:szCs w:val="28"/>
        </w:rPr>
        <w:t>4.</w:t>
      </w:r>
      <w:r>
        <w:rPr>
          <w:rFonts w:hint="eastAsia"/>
          <w:w w:val="82"/>
          <w:kern w:val="0"/>
          <w:sz w:val="28"/>
          <w:szCs w:val="28"/>
          <w:lang w:val="en-US" w:eastAsia="zh-CN"/>
        </w:rPr>
        <w:t>2</w:t>
      </w:r>
      <w:r>
        <w:rPr>
          <w:rFonts w:hint="eastAsia"/>
          <w:w w:val="82"/>
          <w:kern w:val="0"/>
          <w:sz w:val="28"/>
          <w:szCs w:val="28"/>
        </w:rPr>
        <w:t xml:space="preserve">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33A3292"/>
    <w:rsid w:val="43B167AA"/>
    <w:rsid w:val="45AB028E"/>
    <w:rsid w:val="45B8114E"/>
    <w:rsid w:val="478557B9"/>
    <w:rsid w:val="483D156B"/>
    <w:rsid w:val="48F5691C"/>
    <w:rsid w:val="49904129"/>
    <w:rsid w:val="4AA97B9F"/>
    <w:rsid w:val="4BC6472C"/>
    <w:rsid w:val="4D1F19DC"/>
    <w:rsid w:val="515D7EF7"/>
    <w:rsid w:val="588E0972"/>
    <w:rsid w:val="5A500518"/>
    <w:rsid w:val="5A767B16"/>
    <w:rsid w:val="5ACC43F0"/>
    <w:rsid w:val="5B3240FE"/>
    <w:rsid w:val="5CEE76E8"/>
    <w:rsid w:val="5D592468"/>
    <w:rsid w:val="5D942CDE"/>
    <w:rsid w:val="5F03343C"/>
    <w:rsid w:val="60B41562"/>
    <w:rsid w:val="62DB68C0"/>
    <w:rsid w:val="636360E0"/>
    <w:rsid w:val="6366186B"/>
    <w:rsid w:val="63E944D3"/>
    <w:rsid w:val="64F56445"/>
    <w:rsid w:val="6F460571"/>
    <w:rsid w:val="71807EB6"/>
    <w:rsid w:val="72F51242"/>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2607</Words>
  <Characters>2894</Characters>
  <Lines>39</Lines>
  <Paragraphs>11</Paragraphs>
  <TotalTime>6</TotalTime>
  <ScaleCrop>false</ScaleCrop>
  <LinksUpToDate>false</LinksUpToDate>
  <CharactersWithSpaces>3250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2023-04-07T08:26:17Z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860174C926934315B3D47F09AA8D24BA</vt:lpwstr>
  </property>
</Properties>
</file>