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镇广高速定轧钢板招标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40321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21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镇广高速定轧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、招标物资：钢板，材质为Q345qD</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Q355C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1448</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22</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056" w:type="pct"/>
        <w:tblInd w:w="0" w:type="dxa"/>
        <w:tblLayout w:type="fixed"/>
        <w:tblCellMar>
          <w:top w:w="0" w:type="dxa"/>
          <w:left w:w="0" w:type="dxa"/>
          <w:bottom w:w="0" w:type="dxa"/>
          <w:right w:w="0" w:type="dxa"/>
        </w:tblCellMar>
      </w:tblPr>
      <w:tblGrid>
        <w:gridCol w:w="577"/>
        <w:gridCol w:w="769"/>
        <w:gridCol w:w="1900"/>
        <w:gridCol w:w="1022"/>
        <w:gridCol w:w="918"/>
        <w:gridCol w:w="952"/>
        <w:gridCol w:w="1242"/>
        <w:gridCol w:w="964"/>
        <w:gridCol w:w="1380"/>
        <w:gridCol w:w="1619"/>
        <w:gridCol w:w="1507"/>
        <w:gridCol w:w="1316"/>
        <w:gridCol w:w="1046"/>
      </w:tblGrid>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1"/>
                <w:szCs w:val="21"/>
              </w:rPr>
            </w:pPr>
            <w:r>
              <w:rPr>
                <w:rStyle w:val="22"/>
                <w:rFonts w:hint="eastAsia" w:asciiTheme="majorEastAsia" w:hAnsiTheme="majorEastAsia" w:eastAsiaTheme="majorEastAsia" w:cstheme="majorEastAsia"/>
                <w:b/>
                <w:bCs/>
                <w:color w:val="auto"/>
                <w:sz w:val="21"/>
                <w:szCs w:val="21"/>
                <w:u w:val="none"/>
                <w:lang w:bidi="ar"/>
              </w:rPr>
              <w:t>报</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价</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明</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细</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表</w:t>
            </w:r>
          </w:p>
        </w:tc>
      </w:tr>
      <w:tr>
        <w:tblPrEx>
          <w:tblCellMar>
            <w:top w:w="0" w:type="dxa"/>
            <w:left w:w="0" w:type="dxa"/>
            <w:bottom w:w="0" w:type="dxa"/>
            <w:right w:w="0" w:type="dxa"/>
          </w:tblCellMar>
        </w:tblPrEx>
        <w:trPr>
          <w:trHeight w:val="510" w:hRule="atLeast"/>
        </w:trPr>
        <w:tc>
          <w:tcPr>
            <w:tcW w:w="3196"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询         价        内         容</w:t>
            </w:r>
          </w:p>
        </w:tc>
        <w:tc>
          <w:tcPr>
            <w:tcW w:w="14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  价   内   容</w:t>
            </w: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其它</w:t>
            </w:r>
          </w:p>
        </w:tc>
      </w:tr>
      <w:tr>
        <w:tblPrEx>
          <w:tblCellMar>
            <w:top w:w="0" w:type="dxa"/>
            <w:left w:w="0" w:type="dxa"/>
            <w:bottom w:w="0" w:type="dxa"/>
            <w:right w:w="0" w:type="dxa"/>
          </w:tblCellMar>
        </w:tblPrEx>
        <w:trPr>
          <w:trHeight w:val="510" w:hRule="atLeast"/>
        </w:trPr>
        <w:tc>
          <w:tcPr>
            <w:tcW w:w="18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序号</w:t>
            </w:r>
          </w:p>
        </w:tc>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名称</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执行标准</w:t>
            </w:r>
          </w:p>
        </w:tc>
        <w:tc>
          <w:tcPr>
            <w:tcW w:w="3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材质</w:t>
            </w:r>
          </w:p>
        </w:tc>
        <w:tc>
          <w:tcPr>
            <w:tcW w:w="30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厚</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（mm）</w:t>
            </w:r>
          </w:p>
        </w:tc>
        <w:tc>
          <w:tcPr>
            <w:tcW w:w="31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宽</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408"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长</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数量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（张）</w:t>
            </w:r>
          </w:p>
        </w:tc>
        <w:tc>
          <w:tcPr>
            <w:tcW w:w="4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重量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（t）</w:t>
            </w:r>
          </w:p>
        </w:tc>
        <w:tc>
          <w:tcPr>
            <w:tcW w:w="1027"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报价(含税含运费)</w:t>
            </w:r>
          </w:p>
        </w:tc>
        <w:tc>
          <w:tcPr>
            <w:tcW w:w="4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贵方承诺的交货期</w:t>
            </w:r>
          </w:p>
        </w:tc>
        <w:tc>
          <w:tcPr>
            <w:tcW w:w="343"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CellMar>
            <w:top w:w="0" w:type="dxa"/>
            <w:left w:w="0" w:type="dxa"/>
            <w:bottom w:w="0" w:type="dxa"/>
            <w:right w:w="0" w:type="dxa"/>
          </w:tblCellMar>
        </w:tblPrEx>
        <w:trPr>
          <w:trHeight w:val="510" w:hRule="atLeast"/>
        </w:trPr>
        <w:tc>
          <w:tcPr>
            <w:tcW w:w="18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0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1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8"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1"/>
                <w:szCs w:val="21"/>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4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单价（元/t）</w:t>
            </w:r>
          </w:p>
        </w:tc>
        <w:tc>
          <w:tcPr>
            <w:tcW w:w="495"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总价（元）</w:t>
            </w:r>
          </w:p>
        </w:tc>
        <w:tc>
          <w:tcPr>
            <w:tcW w:w="4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4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10540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15.968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44.760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20.826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35.808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bookmarkStart w:id="0" w:name="_GoBack"/>
            <w:bookmarkEnd w:id="0"/>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18.732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14.744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22.248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22.820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14.280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29.934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6.290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30.105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22.056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58.761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37.056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24.500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23.895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2.740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15.968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44.376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10220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20.826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35.808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14.744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9.812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19.019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5.562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19.644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26.544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14.348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5.382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25.755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19.056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7.630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51.184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30.888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19.320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23.494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19.089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42.944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41.968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12.680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12.065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17.905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14.490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10.708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5.432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7.026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33.528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15.544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32.600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25.596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69.184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34.296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20.280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31.475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21.970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31.510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4.446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4.500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6.070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9.675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714-2015</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Q345qD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2620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3.291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4.204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5.850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1.668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1880</w:t>
            </w:r>
          </w:p>
        </w:tc>
        <w:tc>
          <w:tcPr>
            <w:tcW w:w="408" w:type="pct"/>
            <w:tcBorders>
              <w:top w:val="single" w:color="000000" w:sz="8" w:space="0"/>
              <w:left w:val="single" w:color="000000" w:sz="8" w:space="0"/>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1"/>
                <w:szCs w:val="21"/>
                <w:lang w:val="en-US" w:eastAsia="zh-CN"/>
              </w:rPr>
            </w:pPr>
            <w:r>
              <w:rPr>
                <w:rStyle w:val="24"/>
                <w:rFonts w:hint="eastAsia" w:ascii="宋体" w:hAnsi="宋体" w:eastAsia="宋体" w:cs="宋体"/>
                <w:color w:val="auto"/>
                <w:sz w:val="21"/>
                <w:szCs w:val="21"/>
                <w:lang w:bidi="ar"/>
              </w:rPr>
              <w:t>合计</w:t>
            </w:r>
          </w:p>
        </w:tc>
        <w:tc>
          <w:tcPr>
            <w:tcW w:w="31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40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624</w:t>
            </w:r>
          </w:p>
        </w:tc>
        <w:tc>
          <w:tcPr>
            <w:tcW w:w="4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1447.554</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r>
      <w:tr>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1"/>
                <w:szCs w:val="21"/>
                <w:lang w:val="en-US"/>
              </w:rPr>
            </w:pPr>
            <w:r>
              <w:rPr>
                <w:rFonts w:hint="eastAsia"/>
                <w:sz w:val="21"/>
                <w:szCs w:val="21"/>
              </w:rPr>
              <w:t>技术要求：1.交货状态：热轧；2.尺寸、外形精度要求：GB/T709-20</w:t>
            </w:r>
            <w:r>
              <w:rPr>
                <w:rFonts w:hint="eastAsia"/>
                <w:sz w:val="21"/>
                <w:szCs w:val="21"/>
                <w:lang w:val="en-US" w:eastAsia="zh-CN"/>
              </w:rPr>
              <w:t>19</w:t>
            </w:r>
            <w:r>
              <w:rPr>
                <w:rFonts w:hint="eastAsia"/>
                <w:sz w:val="21"/>
                <w:szCs w:val="21"/>
              </w:rPr>
              <w:t>，厚度偏差满足</w:t>
            </w:r>
            <w:r>
              <w:rPr>
                <w:rFonts w:hint="eastAsia"/>
                <w:sz w:val="21"/>
                <w:szCs w:val="21"/>
                <w:lang w:val="en-US" w:eastAsia="zh-CN"/>
              </w:rPr>
              <w:t>C</w:t>
            </w:r>
            <w:r>
              <w:rPr>
                <w:rFonts w:hint="eastAsia"/>
                <w:sz w:val="21"/>
                <w:szCs w:val="21"/>
              </w:rPr>
              <w:t>类要求</w:t>
            </w:r>
            <w:r>
              <w:rPr>
                <w:rFonts w:hint="eastAsia"/>
                <w:sz w:val="21"/>
                <w:szCs w:val="21"/>
                <w:lang w:eastAsia="zh-CN"/>
              </w:rPr>
              <w:t>；钢板探伤要求：30mm以上钢板要求超声波Ⅰ级（GB/T 2970-2016）</w:t>
            </w:r>
            <w:r>
              <w:rPr>
                <w:rFonts w:hint="eastAsia"/>
                <w:sz w:val="21"/>
                <w:szCs w:val="21"/>
                <w:lang w:val="en-US" w:eastAsia="zh-CN"/>
              </w:rPr>
              <w:t>。</w:t>
            </w:r>
          </w:p>
        </w:tc>
      </w:tr>
      <w:tr>
        <w:tblPrEx>
          <w:tblCellMar>
            <w:top w:w="0" w:type="dxa"/>
            <w:left w:w="0" w:type="dxa"/>
            <w:bottom w:w="0" w:type="dxa"/>
            <w:right w:w="0" w:type="dxa"/>
          </w:tblCellMar>
        </w:tblPrEx>
        <w:trPr>
          <w:trHeight w:val="510"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kern w:val="0"/>
                <w:sz w:val="21"/>
                <w:szCs w:val="21"/>
                <w:lang w:bidi="ar"/>
              </w:rPr>
              <w:t xml:space="preserve">是否完全响应合同：   是 </w:t>
            </w:r>
            <w:r>
              <w:rPr>
                <w:rFonts w:hint="eastAsia" w:asciiTheme="majorEastAsia" w:hAnsiTheme="majorEastAsia" w:eastAsiaTheme="majorEastAsia" w:cstheme="majorEastAsia"/>
                <w:kern w:val="0"/>
                <w:sz w:val="21"/>
                <w:szCs w:val="21"/>
                <w:lang w:bidi="ar"/>
              </w:rPr>
              <w:sym w:font="Wingdings 2" w:char="00A3"/>
            </w:r>
            <w:r>
              <w:rPr>
                <w:rFonts w:hint="eastAsia" w:asciiTheme="majorEastAsia" w:hAnsiTheme="majorEastAsia" w:eastAsiaTheme="majorEastAsia" w:cstheme="majorEastAsia"/>
                <w:kern w:val="0"/>
                <w:sz w:val="21"/>
                <w:szCs w:val="21"/>
                <w:lang w:bidi="ar"/>
              </w:rPr>
              <w:t xml:space="preserve">      否 </w:t>
            </w:r>
            <w:r>
              <w:rPr>
                <w:rFonts w:hint="eastAsia" w:asciiTheme="majorEastAsia" w:hAnsiTheme="majorEastAsia" w:eastAsiaTheme="majorEastAsia" w:cstheme="majorEastAsia"/>
                <w:kern w:val="0"/>
                <w:sz w:val="21"/>
                <w:szCs w:val="21"/>
                <w:lang w:bidi="ar"/>
              </w:rPr>
              <w:sym w:font="Wingdings 2" w:char="00A3"/>
            </w:r>
          </w:p>
        </w:tc>
        <w:tc>
          <w:tcPr>
            <w:tcW w:w="31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8"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2574"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w:t>
      </w:r>
      <w:r>
        <w:rPr>
          <w:rFonts w:hint="eastAsia"/>
          <w:w w:val="82"/>
          <w:kern w:val="0"/>
          <w:sz w:val="28"/>
          <w:szCs w:val="28"/>
          <w:u w:val="single"/>
          <w:lang w:val="en-US" w:eastAsia="zh-CN"/>
        </w:rPr>
        <w:t>5</w:t>
      </w:r>
      <w:r>
        <w:rPr>
          <w:rFonts w:hint="eastAsia"/>
          <w:w w:val="82"/>
          <w:kern w:val="0"/>
          <w:sz w:val="28"/>
          <w:szCs w:val="28"/>
          <w:u w:val="single"/>
        </w:rPr>
        <w:t>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043190C"/>
    <w:rsid w:val="11545E11"/>
    <w:rsid w:val="199D3F96"/>
    <w:rsid w:val="1A39185D"/>
    <w:rsid w:val="1B160C40"/>
    <w:rsid w:val="1C204933"/>
    <w:rsid w:val="1F07713E"/>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5660A4B"/>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4</TotalTime>
  <ScaleCrop>false</ScaleCrop>
  <LinksUpToDate>false</LinksUpToDate>
  <CharactersWithSpaces>5126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2024-03-21T01:06:28Z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