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E041D">
      <w:pPr>
        <w:spacing w:line="360" w:lineRule="auto"/>
        <w:jc w:val="center"/>
        <w:rPr>
          <w:rFonts w:hint="eastAsia" w:ascii="宋体" w:hAnsi="宋体" w:eastAsia="宋体" w:cs="宋体"/>
          <w:b/>
          <w:color w:val="auto"/>
          <w:sz w:val="30"/>
          <w:szCs w:val="30"/>
          <w:highlight w:val="none"/>
        </w:rPr>
      </w:pPr>
    </w:p>
    <w:p w14:paraId="3AC7BA7F">
      <w:pPr>
        <w:spacing w:line="360" w:lineRule="auto"/>
        <w:jc w:val="center"/>
        <w:rPr>
          <w:rFonts w:hint="eastAsia" w:ascii="宋体" w:hAnsi="宋体" w:eastAsia="宋体" w:cs="宋体"/>
          <w:b/>
          <w:color w:val="auto"/>
          <w:sz w:val="30"/>
          <w:szCs w:val="30"/>
          <w:highlight w:val="none"/>
        </w:rPr>
      </w:pPr>
    </w:p>
    <w:p w14:paraId="23F44ABB">
      <w:pPr>
        <w:spacing w:line="360" w:lineRule="auto"/>
        <w:jc w:val="left"/>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项目编号：</w:t>
      </w:r>
      <w:r>
        <w:rPr>
          <w:rFonts w:hint="eastAsia" w:ascii="宋体" w:hAnsi="宋体" w:cs="宋体"/>
          <w:b/>
          <w:color w:val="auto"/>
          <w:sz w:val="30"/>
          <w:szCs w:val="30"/>
          <w:highlight w:val="none"/>
          <w:lang w:val="en-US" w:eastAsia="zh-CN"/>
        </w:rPr>
        <w:t>GHSZYYY20250004</w:t>
      </w:r>
    </w:p>
    <w:p w14:paraId="7B09800D">
      <w:pPr>
        <w:spacing w:line="360" w:lineRule="auto"/>
        <w:rPr>
          <w:rFonts w:hint="eastAsia" w:ascii="宋体" w:hAnsi="宋体" w:eastAsia="宋体" w:cs="宋体"/>
          <w:b/>
          <w:color w:val="auto"/>
          <w:sz w:val="52"/>
          <w:szCs w:val="52"/>
          <w:highlight w:val="none"/>
        </w:rPr>
      </w:pPr>
    </w:p>
    <w:p w14:paraId="66A5725D">
      <w:pPr>
        <w:spacing w:line="360" w:lineRule="auto"/>
        <w:rPr>
          <w:rFonts w:hint="eastAsia" w:ascii="宋体" w:hAnsi="宋体" w:eastAsia="宋体" w:cs="宋体"/>
          <w:b/>
          <w:color w:val="auto"/>
          <w:sz w:val="52"/>
          <w:szCs w:val="52"/>
          <w:highlight w:val="none"/>
        </w:rPr>
      </w:pPr>
    </w:p>
    <w:p w14:paraId="11A0CD4D">
      <w:pPr>
        <w:pageBreakBefore w:val="0"/>
        <w:kinsoku/>
        <w:overflowPunct/>
        <w:bidi w:val="0"/>
        <w:ind w:left="0" w:leftChars="0" w:right="0" w:rightChars="0"/>
        <w:jc w:val="center"/>
        <w:rPr>
          <w:rFonts w:hint="eastAsia" w:ascii="宋体" w:hAnsi="宋体" w:cs="宋体"/>
          <w:b/>
          <w:color w:val="auto"/>
          <w:sz w:val="52"/>
          <w:szCs w:val="52"/>
          <w:highlight w:val="none"/>
          <w:lang w:eastAsia="zh-CN"/>
        </w:rPr>
      </w:pPr>
      <w:r>
        <w:rPr>
          <w:rFonts w:hint="eastAsia" w:ascii="宋体" w:hAnsi="宋体" w:cs="宋体"/>
          <w:b/>
          <w:color w:val="auto"/>
          <w:sz w:val="52"/>
          <w:szCs w:val="52"/>
          <w:highlight w:val="none"/>
          <w:lang w:eastAsia="zh-CN"/>
        </w:rPr>
        <w:t>广汉市中医医院</w:t>
      </w:r>
    </w:p>
    <w:p w14:paraId="2959A437">
      <w:pPr>
        <w:pageBreakBefore w:val="0"/>
        <w:kinsoku/>
        <w:overflowPunct/>
        <w:bidi w:val="0"/>
        <w:ind w:left="0" w:leftChars="0" w:right="0" w:rightChars="0"/>
        <w:jc w:val="center"/>
        <w:rPr>
          <w:rFonts w:hint="eastAsia" w:ascii="宋体" w:hAnsi="宋体" w:eastAsia="宋体" w:cs="宋体"/>
          <w:b/>
          <w:color w:val="auto"/>
          <w:sz w:val="52"/>
          <w:szCs w:val="52"/>
          <w:highlight w:val="none"/>
        </w:rPr>
      </w:pPr>
      <w:r>
        <w:rPr>
          <w:rFonts w:hint="eastAsia" w:ascii="宋体" w:hAnsi="宋体" w:cs="宋体"/>
          <w:b/>
          <w:color w:val="auto"/>
          <w:sz w:val="52"/>
          <w:szCs w:val="52"/>
          <w:highlight w:val="none"/>
          <w:lang w:eastAsia="zh-CN"/>
        </w:rPr>
        <w:t>常年法律顾问采购项目</w:t>
      </w:r>
    </w:p>
    <w:p w14:paraId="5D67E357">
      <w:pPr>
        <w:spacing w:line="360" w:lineRule="auto"/>
        <w:rPr>
          <w:rFonts w:hint="eastAsia" w:ascii="宋体" w:hAnsi="宋体" w:eastAsia="宋体" w:cs="宋体"/>
          <w:b/>
          <w:color w:val="auto"/>
          <w:sz w:val="52"/>
          <w:szCs w:val="52"/>
          <w:highlight w:val="none"/>
        </w:rPr>
      </w:pPr>
    </w:p>
    <w:p w14:paraId="524DA284">
      <w:pPr>
        <w:spacing w:line="360" w:lineRule="auto"/>
        <w:rPr>
          <w:rFonts w:hint="eastAsia" w:ascii="宋体" w:hAnsi="宋体" w:eastAsia="宋体" w:cs="宋体"/>
          <w:b/>
          <w:color w:val="auto"/>
          <w:sz w:val="52"/>
          <w:szCs w:val="52"/>
          <w:highlight w:val="none"/>
        </w:rPr>
      </w:pPr>
    </w:p>
    <w:p w14:paraId="2925E241">
      <w:pPr>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竞争性谈判文件</w:t>
      </w:r>
    </w:p>
    <w:p w14:paraId="5DE0C50D">
      <w:pPr>
        <w:spacing w:line="360" w:lineRule="auto"/>
        <w:jc w:val="both"/>
        <w:rPr>
          <w:rFonts w:hint="eastAsia" w:ascii="宋体" w:hAnsi="宋体" w:eastAsia="宋体" w:cs="宋体"/>
          <w:b/>
          <w:color w:val="auto"/>
          <w:sz w:val="32"/>
          <w:szCs w:val="32"/>
          <w:highlight w:val="none"/>
        </w:rPr>
      </w:pPr>
    </w:p>
    <w:p w14:paraId="7D8EB994">
      <w:pPr>
        <w:spacing w:line="360" w:lineRule="auto"/>
        <w:jc w:val="both"/>
        <w:rPr>
          <w:rFonts w:hint="eastAsia" w:ascii="宋体" w:hAnsi="宋体" w:eastAsia="宋体" w:cs="宋体"/>
          <w:b/>
          <w:color w:val="auto"/>
          <w:sz w:val="32"/>
          <w:szCs w:val="32"/>
          <w:highlight w:val="none"/>
        </w:rPr>
      </w:pPr>
    </w:p>
    <w:p w14:paraId="367B6EE9">
      <w:pPr>
        <w:spacing w:line="360" w:lineRule="auto"/>
        <w:jc w:val="center"/>
        <w:rPr>
          <w:rFonts w:hint="eastAsia" w:ascii="宋体" w:hAnsi="宋体" w:eastAsia="宋体" w:cs="宋体"/>
          <w:b/>
          <w:color w:val="auto"/>
          <w:sz w:val="32"/>
          <w:szCs w:val="32"/>
          <w:highlight w:val="none"/>
        </w:rPr>
      </w:pPr>
      <w:bookmarkStart w:id="0" w:name="_Hlt101843627"/>
      <w:bookmarkEnd w:id="0"/>
      <w:bookmarkStart w:id="1" w:name="_Hlt101233737"/>
      <w:bookmarkEnd w:id="1"/>
      <w:r>
        <w:rPr>
          <w:rFonts w:hint="eastAsia" w:ascii="宋体" w:hAnsi="宋体" w:eastAsia="宋体" w:cs="宋体"/>
          <w:b/>
          <w:color w:val="auto"/>
          <w:sz w:val="32"/>
          <w:szCs w:val="32"/>
          <w:highlight w:val="none"/>
        </w:rPr>
        <w:t>中国·四川</w:t>
      </w:r>
    </w:p>
    <w:p w14:paraId="44A22C34">
      <w:pPr>
        <w:spacing w:line="360" w:lineRule="auto"/>
        <w:ind w:left="-840" w:leftChars="-400" w:right="-315" w:rightChars="-150" w:firstLine="195" w:firstLineChars="61"/>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4584065</wp:posOffset>
                </wp:positionH>
                <wp:positionV relativeFrom="paragraph">
                  <wp:posOffset>51435</wp:posOffset>
                </wp:positionV>
                <wp:extent cx="2082800" cy="1772285"/>
                <wp:effectExtent l="4445" t="4445" r="8255" b="13970"/>
                <wp:wrapNone/>
                <wp:docPr id="1" name="文本框 2"/>
                <wp:cNvGraphicFramePr/>
                <a:graphic xmlns:a="http://schemas.openxmlformats.org/drawingml/2006/main">
                  <a:graphicData uri="http://schemas.microsoft.com/office/word/2010/wordprocessingShape">
                    <wps:wsp>
                      <wps:cNvSpPr txBox="1"/>
                      <wps:spPr>
                        <a:xfrm>
                          <a:off x="0" y="0"/>
                          <a:ext cx="2082800" cy="17722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5F03F9B">
                            <w:pPr>
                              <w:rPr>
                                <w:b/>
                                <w:sz w:val="36"/>
                                <w:szCs w:val="32"/>
                              </w:rPr>
                            </w:pP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60.95pt;margin-top:4.05pt;height:139.55pt;width:164pt;z-index:251659264;mso-width-relative:page;mso-height-relative:margin;mso-height-percent:200;" fillcolor="#FFFFFF" filled="t" stroked="t" coordsize="21600,21600" o:gfxdata="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FeE22gAAAAoB&#10;AAAPAAAAAAAAAAEAIAAAACIAAABkcnMvZG93bnJldi54bWxQSwECFAAUAAAACACHTuJA/NMzPRkC&#10;AABfBAAADgAAAAAAAAABACAAAAApAQAAZHJzL2Uyb0RvYy54bWxQSwUGAAAAAAYABgBZAQAAtAUA&#10;AAAA&#10;">
                <v:fill on="t" focussize="0,0"/>
                <v:stroke color="#FFFFFF" joinstyle="miter"/>
                <v:imagedata o:title=""/>
                <o:lock v:ext="edit" aspectratio="f"/>
                <v:textbox style="mso-fit-shape-to-text:t;">
                  <w:txbxContent>
                    <w:p w14:paraId="05F03F9B">
                      <w:pPr>
                        <w:rPr>
                          <w:b/>
                          <w:sz w:val="36"/>
                          <w:szCs w:val="32"/>
                        </w:rPr>
                      </w:pPr>
                    </w:p>
                  </w:txbxContent>
                </v:textbox>
              </v:shape>
            </w:pict>
          </mc:Fallback>
        </mc:AlternateContent>
      </w:r>
      <w:r>
        <w:rPr>
          <w:rFonts w:hint="eastAsia" w:ascii="宋体" w:hAnsi="宋体" w:cs="宋体"/>
          <w:b/>
          <w:color w:val="auto"/>
          <w:sz w:val="30"/>
          <w:szCs w:val="30"/>
          <w:highlight w:val="none"/>
          <w:lang w:eastAsia="zh-CN"/>
        </w:rPr>
        <w:t>广汉市中医医院（</w:t>
      </w:r>
      <w:r>
        <w:rPr>
          <w:rFonts w:hint="eastAsia" w:ascii="宋体" w:hAnsi="宋体" w:eastAsia="宋体" w:cs="宋体"/>
          <w:b/>
          <w:color w:val="auto"/>
          <w:sz w:val="32"/>
          <w:szCs w:val="32"/>
          <w:highlight w:val="none"/>
        </w:rPr>
        <w:t>采</w:t>
      </w:r>
      <w:r>
        <w:rPr>
          <w:rFonts w:hint="eastAsia" w:ascii="宋体" w:hAnsi="宋体" w:eastAsia="宋体" w:cs="宋体"/>
          <w:b/>
          <w:color w:val="auto"/>
          <w:sz w:val="30"/>
          <w:szCs w:val="30"/>
          <w:highlight w:val="none"/>
          <w:lang w:eastAsia="zh-CN"/>
        </w:rPr>
        <w:t>购人）</w:t>
      </w:r>
    </w:p>
    <w:p w14:paraId="6EEF64F1">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0"/>
          <w:szCs w:val="30"/>
          <w:highlight w:val="none"/>
        </w:rPr>
        <w:t xml:space="preserve"> </w:t>
      </w:r>
    </w:p>
    <w:p w14:paraId="03F295F6">
      <w:pPr>
        <w:spacing w:line="360" w:lineRule="auto"/>
        <w:ind w:firstLine="3288" w:firstLineChars="1096"/>
        <w:rPr>
          <w:rFonts w:hint="eastAsia" w:ascii="宋体" w:hAnsi="宋体" w:eastAsia="宋体" w:cs="宋体"/>
          <w:bCs w:val="0"/>
          <w:color w:val="auto"/>
          <w:sz w:val="36"/>
          <w:highlight w:val="none"/>
          <w:lang w:val="en-US" w:eastAsia="zh-CN"/>
        </w:rPr>
        <w:sectPr>
          <w:headerReference r:id="rId5" w:type="first"/>
          <w:headerReference r:id="rId3" w:type="default"/>
          <w:headerReference r:id="rId4" w:type="even"/>
          <w:footerReference r:id="rId6" w:type="even"/>
          <w:pgSz w:w="11907" w:h="16839"/>
          <w:pgMar w:top="1440" w:right="1803" w:bottom="1440" w:left="1800" w:header="851" w:footer="992" w:gutter="0"/>
          <w:pgNumType w:fmt="numberInDash"/>
          <w:cols w:space="720" w:num="1"/>
          <w:titlePg/>
          <w:rtlGutter w:val="0"/>
          <w:docGrid w:type="linesAndChars" w:linePitch="312" w:charSpace="0"/>
        </w:sectPr>
      </w:pPr>
      <w:r>
        <w:rPr>
          <w:rFonts w:hint="eastAsia" w:ascii="宋体" w:hAnsi="宋体" w:eastAsia="宋体" w:cs="宋体"/>
          <w:b/>
          <w:color w:val="auto"/>
          <w:sz w:val="30"/>
          <w:szCs w:val="30"/>
          <w:highlight w:val="none"/>
          <w:lang w:val="en-US" w:eastAsia="zh-CN"/>
        </w:rPr>
        <w:t>202</w:t>
      </w:r>
      <w:r>
        <w:rPr>
          <w:rFonts w:hint="eastAsia" w:ascii="宋体" w:hAnsi="宋体" w:cs="宋体"/>
          <w:b/>
          <w:color w:val="auto"/>
          <w:sz w:val="30"/>
          <w:szCs w:val="30"/>
          <w:highlight w:val="none"/>
          <w:lang w:val="en-US" w:eastAsia="zh-CN"/>
        </w:rPr>
        <w:t>5</w:t>
      </w:r>
      <w:r>
        <w:rPr>
          <w:rFonts w:hint="eastAsia" w:ascii="宋体" w:hAnsi="宋体" w:eastAsia="宋体" w:cs="宋体"/>
          <w:b/>
          <w:bCs/>
          <w:color w:val="auto"/>
          <w:sz w:val="32"/>
          <w:szCs w:val="32"/>
          <w:highlight w:val="none"/>
          <w:lang w:val="zh-CN"/>
        </w:rPr>
        <w:t>年</w:t>
      </w:r>
      <w:r>
        <w:rPr>
          <w:rFonts w:hint="eastAsia" w:ascii="宋体" w:hAnsi="宋体" w:cs="宋体"/>
          <w:b/>
          <w:bCs/>
          <w:color w:val="auto"/>
          <w:sz w:val="32"/>
          <w:szCs w:val="32"/>
          <w:highlight w:val="none"/>
          <w:lang w:val="en-US" w:eastAsia="zh-CN"/>
        </w:rPr>
        <w:t>3</w:t>
      </w:r>
      <w:r>
        <w:rPr>
          <w:rFonts w:hint="eastAsia" w:ascii="宋体" w:hAnsi="宋体" w:eastAsia="宋体" w:cs="宋体"/>
          <w:b/>
          <w:bCs/>
          <w:color w:val="auto"/>
          <w:sz w:val="32"/>
          <w:szCs w:val="32"/>
          <w:highlight w:val="none"/>
          <w:lang w:val="zh-CN"/>
        </w:rPr>
        <w:t>月</w:t>
      </w:r>
      <w:bookmarkStart w:id="2" w:name="_Toc508279772"/>
    </w:p>
    <w:bookmarkEnd w:id="2"/>
    <w:p w14:paraId="678DB065">
      <w:pPr>
        <w:pStyle w:val="30"/>
        <w:tabs>
          <w:tab w:val="left" w:pos="6644"/>
        </w:tabs>
        <w:spacing w:line="360" w:lineRule="auto"/>
        <w:jc w:val="both"/>
        <w:outlineLvl w:val="9"/>
        <w:rPr>
          <w:rFonts w:hint="eastAsia" w:ascii="宋体" w:hAnsi="宋体" w:eastAsia="宋体" w:cs="宋体"/>
          <w:b/>
          <w:bCs/>
          <w:color w:val="auto"/>
          <w:highlight w:val="none"/>
        </w:rPr>
        <w:sectPr>
          <w:footerReference r:id="rId7" w:type="default"/>
          <w:type w:val="continuous"/>
          <w:pgSz w:w="11907" w:h="16839"/>
          <w:pgMar w:top="1440" w:right="1803" w:bottom="1440" w:left="1800" w:header="851" w:footer="992" w:gutter="0"/>
          <w:pgNumType w:fmt="numberInDash"/>
          <w:cols w:space="720" w:num="1"/>
          <w:rtlGutter w:val="0"/>
          <w:docGrid w:type="lines" w:linePitch="312" w:charSpace="0"/>
        </w:sectPr>
      </w:pPr>
      <w:bookmarkStart w:id="3" w:name="_Toc508279773"/>
    </w:p>
    <w:p w14:paraId="6EDC5CE1">
      <w:pPr>
        <w:pStyle w:val="30"/>
        <w:keepNext w:val="0"/>
        <w:keepLines w:val="0"/>
        <w:pageBreakBefore w:val="0"/>
        <w:widowControl w:val="0"/>
        <w:tabs>
          <w:tab w:val="left" w:pos="6644"/>
        </w:tabs>
        <w:kinsoku/>
        <w:wordWrap/>
        <w:overflowPunct/>
        <w:topLinePunct w:val="0"/>
        <w:autoSpaceDE/>
        <w:autoSpaceDN/>
        <w:bidi w:val="0"/>
        <w:adjustRightInd/>
        <w:snapToGrid/>
        <w:spacing w:before="60" w:line="360" w:lineRule="auto"/>
        <w:jc w:val="center"/>
        <w:textAlignment w:val="auto"/>
        <w:outlineLvl w:val="0"/>
        <w:rPr>
          <w:rFonts w:hint="eastAsia" w:ascii="宋体" w:hAnsi="宋体" w:eastAsia="宋体" w:cs="宋体"/>
          <w:b/>
          <w:bCs/>
          <w:color w:val="auto"/>
          <w:highlight w:val="none"/>
        </w:rPr>
      </w:pPr>
      <w:r>
        <w:rPr>
          <w:rFonts w:hint="eastAsia" w:ascii="宋体" w:hAnsi="宋体" w:eastAsia="宋体" w:cs="宋体"/>
          <w:b/>
          <w:bCs/>
          <w:color w:val="auto"/>
          <w:highlight w:val="none"/>
        </w:rPr>
        <w:t>第一章  谈判邀请</w:t>
      </w:r>
      <w:bookmarkEnd w:id="3"/>
    </w:p>
    <w:p w14:paraId="12E4A28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sz w:val="24"/>
          <w:szCs w:val="28"/>
          <w:highlight w:val="none"/>
        </w:rPr>
      </w:pPr>
      <w:r>
        <w:rPr>
          <w:rFonts w:hint="eastAsia" w:ascii="宋体" w:hAnsi="宋体" w:cs="宋体"/>
          <w:b/>
          <w:bCs/>
          <w:color w:val="auto"/>
          <w:sz w:val="24"/>
          <w:highlight w:val="none"/>
          <w:u w:val="single"/>
          <w:lang w:eastAsia="zh-CN"/>
        </w:rPr>
        <w:t>广汉市中医医院</w:t>
      </w:r>
      <w:r>
        <w:rPr>
          <w:rFonts w:hint="eastAsia" w:ascii="宋体" w:hAnsi="宋体" w:eastAsia="宋体" w:cs="宋体"/>
          <w:color w:val="auto"/>
          <w:sz w:val="24"/>
          <w:highlight w:val="none"/>
        </w:rPr>
        <w:t>拟对</w:t>
      </w:r>
      <w:r>
        <w:rPr>
          <w:rFonts w:hint="eastAsia" w:ascii="宋体" w:hAnsi="宋体" w:cs="宋体"/>
          <w:b/>
          <w:bCs/>
          <w:color w:val="auto"/>
          <w:sz w:val="24"/>
          <w:highlight w:val="none"/>
          <w:u w:val="single"/>
          <w:lang w:eastAsia="zh-CN"/>
        </w:rPr>
        <w:t>广汉市中医医院常年法律顾问采购项目</w:t>
      </w:r>
      <w:r>
        <w:rPr>
          <w:rFonts w:hint="eastAsia" w:ascii="宋体" w:hAnsi="宋体" w:eastAsia="宋体" w:cs="宋体"/>
          <w:color w:val="auto"/>
          <w:sz w:val="24"/>
          <w:szCs w:val="32"/>
          <w:highlight w:val="none"/>
        </w:rPr>
        <w:t>采用竞争性谈判方式</w:t>
      </w:r>
      <w:r>
        <w:rPr>
          <w:rFonts w:hint="eastAsia" w:ascii="宋体" w:hAnsi="宋体" w:eastAsia="宋体" w:cs="宋体"/>
          <w:color w:val="auto"/>
          <w:sz w:val="24"/>
          <w:highlight w:val="none"/>
        </w:rPr>
        <w:t>进行采购，特</w:t>
      </w:r>
      <w:r>
        <w:rPr>
          <w:rFonts w:hint="eastAsia" w:ascii="宋体" w:hAnsi="宋体" w:eastAsia="宋体" w:cs="宋体"/>
          <w:color w:val="auto"/>
          <w:sz w:val="24"/>
          <w:szCs w:val="28"/>
          <w:highlight w:val="none"/>
        </w:rPr>
        <w:t>邀请符合本次采购要求的供应商参加</w:t>
      </w:r>
      <w:r>
        <w:rPr>
          <w:rFonts w:hint="eastAsia" w:ascii="宋体" w:hAnsi="宋体" w:eastAsia="宋体" w:cs="宋体"/>
          <w:color w:val="auto"/>
          <w:sz w:val="24"/>
          <w:highlight w:val="none"/>
        </w:rPr>
        <w:t>本项目的竞争性谈判</w:t>
      </w:r>
      <w:r>
        <w:rPr>
          <w:rFonts w:hint="eastAsia" w:ascii="宋体" w:hAnsi="宋体" w:eastAsia="宋体" w:cs="宋体"/>
          <w:color w:val="auto"/>
          <w:sz w:val="24"/>
          <w:szCs w:val="28"/>
          <w:highlight w:val="none"/>
        </w:rPr>
        <w:t>。</w:t>
      </w:r>
    </w:p>
    <w:p w14:paraId="6EF89F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一、采购项目基本情况</w:t>
      </w:r>
    </w:p>
    <w:p w14:paraId="3C6128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1.项目编号：</w:t>
      </w:r>
      <w:r>
        <w:rPr>
          <w:rFonts w:hint="eastAsia" w:ascii="宋体" w:hAnsi="宋体" w:cs="宋体"/>
          <w:color w:val="auto"/>
          <w:sz w:val="24"/>
          <w:highlight w:val="none"/>
          <w:lang w:val="en-US" w:eastAsia="zh-CN"/>
        </w:rPr>
        <w:t>GHSZYYY20250004</w:t>
      </w:r>
      <w:r>
        <w:rPr>
          <w:rFonts w:hint="eastAsia" w:ascii="宋体" w:hAnsi="宋体" w:eastAsia="宋体" w:cs="宋体"/>
          <w:color w:val="auto"/>
          <w:sz w:val="24"/>
          <w:highlight w:val="none"/>
        </w:rPr>
        <w:t>。</w:t>
      </w:r>
    </w:p>
    <w:p w14:paraId="56204F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2.采购项目名称：</w:t>
      </w:r>
      <w:r>
        <w:rPr>
          <w:rFonts w:hint="eastAsia" w:ascii="宋体" w:hAnsi="宋体" w:cs="宋体"/>
          <w:color w:val="auto"/>
          <w:sz w:val="24"/>
          <w:highlight w:val="none"/>
          <w:lang w:eastAsia="zh-CN"/>
        </w:rPr>
        <w:t>广汉市中医医院常年法律顾问采购项目</w:t>
      </w:r>
      <w:r>
        <w:rPr>
          <w:rFonts w:hint="eastAsia" w:ascii="宋体" w:hAnsi="宋体" w:eastAsia="宋体" w:cs="宋体"/>
          <w:color w:val="auto"/>
          <w:sz w:val="24"/>
          <w:highlight w:val="none"/>
        </w:rPr>
        <w:t>。</w:t>
      </w:r>
    </w:p>
    <w:p w14:paraId="3C25DA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w:t>
      </w:r>
      <w:r>
        <w:rPr>
          <w:rFonts w:hint="eastAsia" w:ascii="宋体" w:hAnsi="宋体" w:cs="宋体"/>
          <w:color w:val="auto"/>
          <w:sz w:val="24"/>
          <w:highlight w:val="none"/>
          <w:lang w:eastAsia="zh-CN"/>
        </w:rPr>
        <w:t>广汉市中医医院</w:t>
      </w:r>
      <w:r>
        <w:rPr>
          <w:rFonts w:hint="eastAsia" w:ascii="宋体" w:hAnsi="宋体" w:eastAsia="宋体" w:cs="宋体"/>
          <w:color w:val="auto"/>
          <w:sz w:val="24"/>
          <w:highlight w:val="none"/>
        </w:rPr>
        <w:t>。</w:t>
      </w:r>
    </w:p>
    <w:p w14:paraId="7119BC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4.预算资金：3.5万元/1年</w:t>
      </w:r>
    </w:p>
    <w:p w14:paraId="2780E3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5、资金来源：财政性资金</w:t>
      </w:r>
    </w:p>
    <w:p w14:paraId="514B28E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二</w:t>
      </w:r>
      <w:r>
        <w:rPr>
          <w:rFonts w:hint="eastAsia" w:ascii="宋体" w:hAnsi="宋体" w:eastAsia="宋体" w:cs="宋体"/>
          <w:b/>
          <w:bCs/>
          <w:color w:val="auto"/>
          <w:sz w:val="24"/>
          <w:highlight w:val="none"/>
        </w:rPr>
        <w:t>、</w:t>
      </w:r>
      <w:r>
        <w:rPr>
          <w:rFonts w:hint="eastAsia" w:ascii="宋体" w:hAnsi="宋体" w:eastAsia="宋体" w:cs="宋体"/>
          <w:b/>
          <w:color w:val="auto"/>
          <w:sz w:val="24"/>
          <w:highlight w:val="none"/>
        </w:rPr>
        <w:t>采购项目简介：</w:t>
      </w:r>
    </w:p>
    <w:p w14:paraId="7B050A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广汉市中医医院</w:t>
      </w:r>
      <w:r>
        <w:rPr>
          <w:rFonts w:hint="eastAsia" w:ascii="宋体" w:hAnsi="宋体" w:eastAsia="宋体" w:cs="宋体"/>
          <w:color w:val="auto"/>
          <w:sz w:val="24"/>
          <w:highlight w:val="none"/>
          <w:lang w:eastAsia="zh-CN"/>
        </w:rPr>
        <w:t>拟采购</w:t>
      </w:r>
      <w:r>
        <w:rPr>
          <w:rFonts w:hint="eastAsia" w:ascii="宋体" w:hAnsi="宋体" w:cs="宋体"/>
          <w:color w:val="auto"/>
          <w:sz w:val="24"/>
          <w:highlight w:val="none"/>
          <w:lang w:eastAsia="zh-CN"/>
        </w:rPr>
        <w:t>常年法律顾问</w:t>
      </w:r>
      <w:r>
        <w:rPr>
          <w:rFonts w:hint="eastAsia" w:ascii="宋体" w:hAnsi="宋体" w:eastAsia="宋体" w:cs="宋体"/>
          <w:color w:val="auto"/>
          <w:sz w:val="24"/>
          <w:highlight w:val="none"/>
          <w:lang w:eastAsia="zh-CN"/>
        </w:rPr>
        <w:t>一项，本项目为1个包。</w:t>
      </w:r>
    </w:p>
    <w:p w14:paraId="2D90FF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（详见谈判文件第</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章）。</w:t>
      </w:r>
    </w:p>
    <w:p w14:paraId="1175557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、供应商邀请方式</w:t>
      </w:r>
    </w:p>
    <w:p w14:paraId="153B6D6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公告方式：本次竞争性谈判邀请在</w:t>
      </w:r>
      <w:r>
        <w:rPr>
          <w:rFonts w:hint="eastAsia" w:ascii="宋体" w:hAnsi="宋体" w:eastAsia="宋体" w:cs="宋体"/>
          <w:bCs/>
          <w:color w:val="auto"/>
          <w:sz w:val="24"/>
          <w:highlight w:val="none"/>
          <w:lang w:eastAsia="zh-CN"/>
        </w:rPr>
        <w:t>广汉市中医医院官网</w:t>
      </w:r>
      <w:r>
        <w:rPr>
          <w:rFonts w:hint="eastAsia" w:ascii="宋体" w:hAnsi="宋体" w:eastAsia="宋体" w:cs="宋体"/>
          <w:bCs/>
          <w:color w:val="auto"/>
          <w:sz w:val="24"/>
          <w:highlight w:val="none"/>
        </w:rPr>
        <w:t>（</w:t>
      </w:r>
      <w:r>
        <w:rPr>
          <w:rFonts w:hint="eastAsia"/>
          <w:kern w:val="0"/>
        </w:rPr>
        <w:t>http://</w:t>
      </w:r>
      <w:r>
        <w:rPr>
          <w:rFonts w:hint="eastAsia"/>
          <w:kern w:val="0"/>
          <w:lang w:val="en-US" w:eastAsia="zh-CN"/>
        </w:rPr>
        <w:t>www.</w:t>
      </w:r>
      <w:r>
        <w:rPr>
          <w:rFonts w:hint="eastAsia"/>
          <w:kern w:val="0"/>
        </w:rPr>
        <w:t>ghszyyy.com/）</w:t>
      </w:r>
      <w:r>
        <w:rPr>
          <w:rFonts w:hint="eastAsia" w:ascii="宋体" w:hAnsi="宋体" w:eastAsia="宋体" w:cs="宋体"/>
          <w:bCs/>
          <w:color w:val="auto"/>
          <w:sz w:val="24"/>
          <w:highlight w:val="none"/>
        </w:rPr>
        <w:t>上以公告形式发布。</w:t>
      </w:r>
    </w:p>
    <w:p w14:paraId="3A1A3E0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四</w:t>
      </w:r>
      <w:r>
        <w:rPr>
          <w:rFonts w:hint="eastAsia" w:ascii="宋体" w:hAnsi="宋体" w:eastAsia="宋体" w:cs="宋体"/>
          <w:b/>
          <w:bCs/>
          <w:color w:val="auto"/>
          <w:sz w:val="24"/>
          <w:highlight w:val="none"/>
        </w:rPr>
        <w:t>、供应商参加本次采购活动应具备下列条件：</w:t>
      </w:r>
    </w:p>
    <w:p w14:paraId="2914F73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执业许可证</w:t>
      </w:r>
      <w:r>
        <w:rPr>
          <w:rFonts w:hint="eastAsia" w:ascii="宋体" w:hAnsi="宋体" w:eastAsia="宋体" w:cs="宋体"/>
          <w:bCs/>
          <w:color w:val="auto"/>
          <w:sz w:val="24"/>
          <w:highlight w:val="none"/>
        </w:rPr>
        <w:t>（有效）</w:t>
      </w:r>
    </w:p>
    <w:p w14:paraId="26010D4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负责人身份证明及身份证</w:t>
      </w:r>
    </w:p>
    <w:p w14:paraId="72E373C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3、授权参加本次采购活动的比选申请人代表证明材料</w:t>
      </w:r>
    </w:p>
    <w:p w14:paraId="46F19B2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事务所</w:t>
      </w:r>
      <w:r>
        <w:rPr>
          <w:rFonts w:hint="eastAsia" w:ascii="宋体" w:hAnsi="宋体" w:eastAsia="宋体" w:cs="宋体"/>
          <w:bCs/>
          <w:color w:val="auto"/>
          <w:sz w:val="24"/>
          <w:highlight w:val="none"/>
        </w:rPr>
        <w:t>简介</w:t>
      </w:r>
      <w:r>
        <w:rPr>
          <w:rFonts w:hint="eastAsia" w:ascii="宋体" w:hAnsi="宋体" w:eastAsia="宋体" w:cs="宋体"/>
          <w:bCs/>
          <w:color w:val="auto"/>
          <w:sz w:val="24"/>
          <w:highlight w:val="none"/>
          <w:lang w:val="en-US" w:eastAsia="zh-CN"/>
        </w:rPr>
        <w:t>及荣誉证书</w:t>
      </w:r>
    </w:p>
    <w:p w14:paraId="190E676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yellow"/>
          <w:lang w:val="en-US" w:eastAsia="zh-CN"/>
        </w:rPr>
      </w:pPr>
      <w:r>
        <w:rPr>
          <w:rFonts w:hint="eastAsia" w:ascii="宋体" w:hAnsi="宋体" w:cs="宋体"/>
          <w:bCs/>
          <w:color w:val="auto"/>
          <w:sz w:val="24"/>
          <w:highlight w:val="yellow"/>
          <w:lang w:val="en-US" w:eastAsia="zh-CN"/>
        </w:rPr>
        <w:t>5</w:t>
      </w:r>
      <w:r>
        <w:rPr>
          <w:rFonts w:hint="eastAsia" w:ascii="宋体" w:hAnsi="宋体" w:eastAsia="宋体" w:cs="宋体"/>
          <w:bCs/>
          <w:color w:val="auto"/>
          <w:sz w:val="24"/>
          <w:highlight w:val="yellow"/>
          <w:lang w:val="en-US" w:eastAsia="zh-CN"/>
        </w:rPr>
        <w:t>、参加本次采购活动前三年内，在经营活动中没有重大违法记录</w:t>
      </w:r>
      <w:r>
        <w:rPr>
          <w:rFonts w:hint="eastAsia" w:ascii="宋体" w:hAnsi="宋体" w:cs="宋体"/>
          <w:bCs/>
          <w:color w:val="auto"/>
          <w:sz w:val="24"/>
          <w:highlight w:val="yellow"/>
          <w:lang w:val="en-US" w:eastAsia="zh-CN"/>
        </w:rPr>
        <w:t>（提供承诺函）</w:t>
      </w:r>
    </w:p>
    <w:p w14:paraId="7F2608E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、近3年企业财务报表（资产负债表，利润表，现金流量表</w:t>
      </w:r>
      <w:r>
        <w:rPr>
          <w:rFonts w:hint="eastAsia" w:ascii="宋体" w:hAnsi="宋体" w:cs="宋体"/>
          <w:bCs/>
          <w:color w:val="auto"/>
          <w:sz w:val="24"/>
          <w:highlight w:val="none"/>
          <w:lang w:eastAsia="zh-CN"/>
        </w:rPr>
        <w:t>）</w:t>
      </w:r>
    </w:p>
    <w:p w14:paraId="675309F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事务所</w:t>
      </w:r>
      <w:r>
        <w:rPr>
          <w:rFonts w:hint="eastAsia" w:ascii="宋体" w:hAnsi="宋体" w:eastAsia="宋体" w:cs="宋体"/>
          <w:bCs/>
          <w:color w:val="auto"/>
          <w:sz w:val="24"/>
          <w:highlight w:val="none"/>
        </w:rPr>
        <w:t>信誉证明：</w:t>
      </w:r>
      <w:r>
        <w:rPr>
          <w:rFonts w:hint="eastAsia" w:ascii="宋体" w:hAnsi="宋体" w:eastAsia="宋体" w:cs="宋体"/>
          <w:bCs/>
          <w:color w:val="auto"/>
          <w:sz w:val="24"/>
          <w:highlight w:val="none"/>
          <w:lang w:val="en-US" w:eastAsia="zh-CN"/>
        </w:rPr>
        <w:t>事务所</w:t>
      </w:r>
      <w:r>
        <w:rPr>
          <w:rFonts w:hint="eastAsia" w:ascii="宋体" w:hAnsi="宋体" w:eastAsia="宋体" w:cs="宋体"/>
          <w:bCs/>
          <w:color w:val="auto"/>
          <w:sz w:val="24"/>
          <w:highlight w:val="none"/>
        </w:rPr>
        <w:t>未被最高人民法院在“</w:t>
      </w:r>
      <w:r>
        <w:rPr>
          <w:rFonts w:hint="eastAsia" w:ascii="宋体" w:hAnsi="宋体" w:eastAsia="宋体" w:cs="宋体"/>
          <w:bCs/>
          <w:color w:val="auto"/>
          <w:sz w:val="24"/>
          <w:highlight w:val="none"/>
          <w:lang w:val="en-US" w:eastAsia="zh-CN"/>
        </w:rPr>
        <w:t>中国执行信息公开网</w:t>
      </w:r>
      <w:r>
        <w:rPr>
          <w:rFonts w:hint="eastAsia" w:ascii="宋体" w:hAnsi="宋体" w:eastAsia="宋体" w:cs="宋体"/>
          <w:bCs/>
          <w:color w:val="auto"/>
          <w:sz w:val="24"/>
          <w:highlight w:val="none"/>
        </w:rPr>
        <w:t>”网站（http://zxgk.court.gov.cn/）列入失信被执行人名单（附</w:t>
      </w:r>
      <w:r>
        <w:rPr>
          <w:rFonts w:hint="eastAsia" w:ascii="宋体" w:hAnsi="宋体" w:eastAsia="宋体" w:cs="宋体"/>
          <w:bCs/>
          <w:color w:val="auto"/>
          <w:sz w:val="24"/>
          <w:highlight w:val="none"/>
          <w:lang w:val="en-US" w:eastAsia="zh-CN"/>
        </w:rPr>
        <w:t>该</w:t>
      </w:r>
      <w:r>
        <w:rPr>
          <w:rFonts w:hint="eastAsia" w:ascii="宋体" w:hAnsi="宋体" w:eastAsia="宋体" w:cs="宋体"/>
          <w:bCs/>
          <w:color w:val="auto"/>
          <w:sz w:val="24"/>
          <w:highlight w:val="none"/>
        </w:rPr>
        <w:t>网站的信息查打印资料）</w:t>
      </w:r>
    </w:p>
    <w:p w14:paraId="7AC0ACD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rPr>
        <w:t>、团队律师简介及执业证复印件</w:t>
      </w:r>
    </w:p>
    <w:p w14:paraId="3CDC460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近3年的业绩证明：提供</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家</w:t>
      </w:r>
      <w:r>
        <w:rPr>
          <w:rFonts w:hint="eastAsia" w:ascii="宋体" w:hAnsi="宋体" w:eastAsia="宋体" w:cs="宋体"/>
          <w:bCs/>
          <w:color w:val="auto"/>
          <w:sz w:val="24"/>
          <w:highlight w:val="none"/>
          <w:lang w:val="en-US" w:eastAsia="zh-CN"/>
        </w:rPr>
        <w:t>/件</w:t>
      </w:r>
      <w:r>
        <w:rPr>
          <w:rFonts w:hint="eastAsia" w:ascii="宋体" w:hAnsi="宋体" w:eastAsia="宋体" w:cs="宋体"/>
          <w:bCs/>
          <w:color w:val="auto"/>
          <w:sz w:val="24"/>
          <w:highlight w:val="none"/>
        </w:rPr>
        <w:t>以上的（</w:t>
      </w:r>
      <w:r>
        <w:rPr>
          <w:rFonts w:hint="eastAsia" w:ascii="宋体" w:hAnsi="宋体" w:eastAsia="宋体" w:cs="宋体"/>
          <w:bCs/>
          <w:color w:val="auto"/>
          <w:sz w:val="24"/>
          <w:highlight w:val="none"/>
          <w:lang w:val="en-US" w:eastAsia="zh-CN"/>
        </w:rPr>
        <w:t>顾问合同/医疗纠纷案件代理合同</w:t>
      </w:r>
      <w:r>
        <w:rPr>
          <w:rFonts w:hint="eastAsia" w:ascii="宋体" w:hAnsi="宋体" w:eastAsia="宋体" w:cs="宋体"/>
          <w:bCs/>
          <w:color w:val="auto"/>
          <w:sz w:val="24"/>
          <w:highlight w:val="none"/>
        </w:rPr>
        <w:t>）合同复印件。</w:t>
      </w:r>
    </w:p>
    <w:p w14:paraId="1413CBE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、供应商准入申请表</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附录1</w:t>
      </w:r>
      <w:r>
        <w:rPr>
          <w:rFonts w:hint="eastAsia" w:ascii="宋体" w:hAnsi="宋体" w:eastAsia="宋体" w:cs="宋体"/>
          <w:bCs/>
          <w:color w:val="auto"/>
          <w:sz w:val="24"/>
          <w:highlight w:val="none"/>
          <w:lang w:eastAsia="zh-CN"/>
        </w:rPr>
        <w:t>）</w:t>
      </w:r>
    </w:p>
    <w:p w14:paraId="24B34A4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11</w:t>
      </w:r>
      <w:r>
        <w:rPr>
          <w:rFonts w:hint="eastAsia" w:ascii="宋体" w:hAnsi="宋体" w:eastAsia="宋体" w:cs="宋体"/>
          <w:bCs/>
          <w:color w:val="auto"/>
          <w:sz w:val="24"/>
          <w:highlight w:val="none"/>
        </w:rPr>
        <w:t>、供应商准入承诺书</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附录2</w:t>
      </w:r>
      <w:r>
        <w:rPr>
          <w:rFonts w:hint="eastAsia" w:ascii="宋体" w:hAnsi="宋体" w:eastAsia="宋体" w:cs="宋体"/>
          <w:bCs/>
          <w:color w:val="auto"/>
          <w:sz w:val="24"/>
          <w:highlight w:val="none"/>
          <w:lang w:eastAsia="zh-CN"/>
        </w:rPr>
        <w:t>）</w:t>
      </w:r>
    </w:p>
    <w:p w14:paraId="09D8664A">
      <w:pPr>
        <w:pStyle w:val="6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、法律、行政法规规定的其他条件。</w:t>
      </w:r>
    </w:p>
    <w:p w14:paraId="3CC1851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、严禁参加本次采购活动的供应商</w:t>
      </w:r>
    </w:p>
    <w:p w14:paraId="7F3627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采购项目提供整体设计、规范编制或者项目管理、监理、检测等服务的供应商，不得参加本采购项目。供应商为采购人在确定采购需求、编制谈判文件过程中提供咨询论证，其提供的咨询论证意见成为谈判文件中规定的供应商资格条件、技术服务商务要求、评审因素和标准、采购合同等实质性内容条款的，视同为采购项目提供规范编制。</w:t>
      </w:r>
    </w:p>
    <w:p w14:paraId="355BA8E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谈判</w:t>
      </w:r>
      <w:r>
        <w:rPr>
          <w:rFonts w:hint="eastAsia" w:ascii="宋体" w:hAnsi="宋体" w:eastAsia="宋体" w:cs="宋体"/>
          <w:b/>
          <w:bCs/>
          <w:color w:val="auto"/>
          <w:sz w:val="24"/>
          <w:highlight w:val="none"/>
        </w:rPr>
        <w:t>文件获取时间、方式及地址</w:t>
      </w:r>
    </w:p>
    <w:p w14:paraId="4A3E3DD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文件自20</w:t>
      </w: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eastAsia="宋体" w:cs="宋体"/>
          <w:color w:val="auto"/>
          <w:sz w:val="24"/>
          <w:highlight w:val="none"/>
        </w:rPr>
        <w:t>日至20</w:t>
      </w: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日每日上午09:00-</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0，下午14: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0-17:00（北京时间，法定节假日除外）</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采购文件由各供应商在广汉市中医医院官方网站</w:t>
      </w:r>
      <w:r>
        <w:rPr>
          <w:rFonts w:hint="eastAsia" w:ascii="宋体" w:hAnsi="宋体" w:eastAsia="宋体" w:cs="宋体"/>
          <w:color w:val="auto"/>
          <w:sz w:val="24"/>
          <w:highlight w:val="none"/>
        </w:rPr>
        <w:t>（http://</w:t>
      </w:r>
      <w:r>
        <w:rPr>
          <w:rFonts w:hint="eastAsia" w:ascii="宋体" w:hAnsi="宋体" w:eastAsia="宋体" w:cs="宋体"/>
          <w:color w:val="auto"/>
          <w:sz w:val="24"/>
          <w:highlight w:val="none"/>
          <w:lang w:val="en-US" w:eastAsia="zh-CN"/>
        </w:rPr>
        <w:t>www.</w:t>
      </w:r>
      <w:r>
        <w:rPr>
          <w:rFonts w:hint="eastAsia" w:ascii="宋体" w:hAnsi="宋体" w:eastAsia="宋体" w:cs="宋体"/>
          <w:color w:val="auto"/>
          <w:sz w:val="24"/>
          <w:highlight w:val="none"/>
        </w:rPr>
        <w:t>ghszyyy.com/）</w:t>
      </w:r>
      <w:r>
        <w:rPr>
          <w:rFonts w:hint="eastAsia" w:ascii="宋体" w:hAnsi="宋体" w:eastAsia="宋体" w:cs="宋体"/>
          <w:color w:val="auto"/>
          <w:sz w:val="24"/>
          <w:highlight w:val="none"/>
          <w:lang w:val="en-US" w:eastAsia="zh-CN"/>
        </w:rPr>
        <w:t>下载本招标公告的链接附件</w:t>
      </w:r>
      <w:r>
        <w:rPr>
          <w:rFonts w:hint="eastAsia" w:ascii="宋体" w:hAnsi="宋体" w:eastAsia="宋体" w:cs="宋体"/>
          <w:color w:val="auto"/>
          <w:sz w:val="24"/>
          <w:highlight w:val="none"/>
        </w:rPr>
        <w:t>。</w:t>
      </w:r>
    </w:p>
    <w:p w14:paraId="3911BB8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sz w:val="24"/>
          <w:szCs w:val="28"/>
          <w:highlight w:val="none"/>
        </w:rPr>
      </w:pPr>
      <w:r>
        <w:rPr>
          <w:rFonts w:hint="eastAsia" w:ascii="宋体" w:hAnsi="宋体" w:eastAsia="宋体" w:cs="宋体"/>
          <w:b/>
          <w:color w:val="auto"/>
          <w:sz w:val="24"/>
          <w:szCs w:val="28"/>
          <w:highlight w:val="none"/>
          <w:lang w:eastAsia="zh-CN"/>
        </w:rPr>
        <w:t>七</w:t>
      </w:r>
      <w:r>
        <w:rPr>
          <w:rFonts w:hint="eastAsia" w:ascii="宋体" w:hAnsi="宋体" w:eastAsia="宋体" w:cs="宋体"/>
          <w:b/>
          <w:color w:val="auto"/>
          <w:sz w:val="24"/>
          <w:szCs w:val="28"/>
          <w:highlight w:val="none"/>
        </w:rPr>
        <w:t>、递交响应文件</w:t>
      </w:r>
      <w:r>
        <w:rPr>
          <w:rFonts w:hint="eastAsia" w:ascii="宋体" w:hAnsi="宋体" w:eastAsia="宋体" w:cs="宋体"/>
          <w:b/>
          <w:color w:val="auto"/>
          <w:sz w:val="24"/>
          <w:highlight w:val="none"/>
        </w:rPr>
        <w:t>截止时间：</w:t>
      </w:r>
      <w:r>
        <w:rPr>
          <w:rFonts w:hint="eastAsia" w:ascii="宋体" w:hAnsi="宋体" w:eastAsia="宋体" w:cs="宋体"/>
          <w:bCs/>
          <w:color w:val="auto"/>
          <w:sz w:val="24"/>
          <w:highlight w:val="none"/>
          <w:lang w:val="en-US" w:eastAsia="zh-CN"/>
        </w:rPr>
        <w:t>2024</w:t>
      </w:r>
      <w:r>
        <w:rPr>
          <w:rFonts w:hint="eastAsia" w:ascii="宋体" w:hAnsi="宋体" w:cs="宋体"/>
          <w:bCs/>
          <w:color w:val="auto"/>
          <w:sz w:val="24"/>
          <w:highlight w:val="none"/>
          <w:lang w:val="en-US" w:eastAsia="zh-CN"/>
        </w:rPr>
        <w:t>年3</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rPr>
        <w:t>日</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00</w:t>
      </w:r>
      <w:r>
        <w:rPr>
          <w:rFonts w:hint="eastAsia" w:ascii="宋体" w:hAnsi="宋体" w:eastAsia="宋体" w:cs="宋体"/>
          <w:color w:val="auto"/>
          <w:sz w:val="24"/>
          <w:szCs w:val="28"/>
          <w:highlight w:val="none"/>
        </w:rPr>
        <w:t>（北京时间）。</w:t>
      </w:r>
    </w:p>
    <w:p w14:paraId="4B62081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八</w:t>
      </w:r>
      <w:r>
        <w:rPr>
          <w:rFonts w:hint="eastAsia" w:ascii="宋体" w:hAnsi="宋体" w:eastAsia="宋体" w:cs="宋体"/>
          <w:b/>
          <w:color w:val="auto"/>
          <w:sz w:val="24"/>
          <w:highlight w:val="none"/>
        </w:rPr>
        <w:t>、递交响应文件地点：</w:t>
      </w:r>
      <w:r>
        <w:rPr>
          <w:rFonts w:hint="eastAsia" w:ascii="宋体" w:hAnsi="宋体" w:cs="宋体"/>
          <w:bCs/>
          <w:color w:val="auto"/>
          <w:sz w:val="24"/>
          <w:highlight w:val="none"/>
        </w:rPr>
        <w:t>广汉市雒城</w:t>
      </w:r>
      <w:r>
        <w:rPr>
          <w:rFonts w:hint="eastAsia" w:ascii="宋体" w:hAnsi="宋体" w:cs="宋体"/>
          <w:bCs/>
          <w:color w:val="auto"/>
          <w:sz w:val="24"/>
          <w:highlight w:val="none"/>
          <w:lang w:val="en-US" w:eastAsia="zh-CN"/>
        </w:rPr>
        <w:t>街道</w:t>
      </w:r>
      <w:r>
        <w:rPr>
          <w:rFonts w:hint="eastAsia" w:ascii="宋体" w:hAnsi="宋体" w:cs="宋体"/>
          <w:bCs/>
          <w:color w:val="auto"/>
          <w:sz w:val="24"/>
          <w:highlight w:val="none"/>
        </w:rPr>
        <w:t>东西大街西二段147号</w:t>
      </w:r>
      <w:r>
        <w:rPr>
          <w:rFonts w:hint="eastAsia" w:ascii="宋体" w:hAnsi="宋体" w:eastAsia="宋体" w:cs="宋体"/>
          <w:b/>
          <w:bCs/>
          <w:color w:val="auto"/>
          <w:sz w:val="24"/>
          <w:szCs w:val="28"/>
          <w:highlight w:val="none"/>
        </w:rPr>
        <w:t>。</w:t>
      </w:r>
    </w:p>
    <w:p w14:paraId="00C4069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注：响应文件必须在递交响应文件截止时间前送达</w:t>
      </w:r>
      <w:r>
        <w:rPr>
          <w:rFonts w:hint="eastAsia" w:ascii="宋体" w:hAnsi="宋体" w:eastAsia="宋体" w:cs="宋体"/>
          <w:b/>
          <w:color w:val="auto"/>
          <w:sz w:val="24"/>
          <w:szCs w:val="18"/>
          <w:highlight w:val="none"/>
        </w:rPr>
        <w:t>谈判</w:t>
      </w:r>
      <w:r>
        <w:rPr>
          <w:rFonts w:hint="eastAsia" w:ascii="宋体" w:hAnsi="宋体" w:eastAsia="宋体" w:cs="宋体"/>
          <w:b/>
          <w:color w:val="auto"/>
          <w:sz w:val="24"/>
          <w:highlight w:val="none"/>
        </w:rPr>
        <w:t>地点。逾期送达、密封和标注错误的响应文件，</w:t>
      </w:r>
      <w:r>
        <w:rPr>
          <w:rFonts w:hint="eastAsia" w:ascii="宋体" w:hAnsi="宋体" w:cs="宋体"/>
          <w:b/>
          <w:color w:val="auto"/>
          <w:sz w:val="24"/>
          <w:highlight w:val="none"/>
          <w:lang w:eastAsia="zh-CN"/>
        </w:rPr>
        <w:t>采购人</w:t>
      </w:r>
      <w:r>
        <w:rPr>
          <w:rFonts w:hint="eastAsia" w:ascii="宋体" w:hAnsi="宋体" w:eastAsia="宋体" w:cs="宋体"/>
          <w:b/>
          <w:color w:val="auto"/>
          <w:sz w:val="24"/>
          <w:highlight w:val="none"/>
        </w:rPr>
        <w:t>恕不接收。本次采购不接收邮寄的响应文件。</w:t>
      </w:r>
    </w:p>
    <w:p w14:paraId="23F30E8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sz w:val="24"/>
          <w:szCs w:val="28"/>
          <w:highlight w:val="none"/>
        </w:rPr>
      </w:pPr>
      <w:r>
        <w:rPr>
          <w:rFonts w:hint="eastAsia" w:ascii="宋体" w:hAnsi="宋体" w:eastAsia="宋体" w:cs="宋体"/>
          <w:b/>
          <w:color w:val="auto"/>
          <w:sz w:val="24"/>
          <w:szCs w:val="28"/>
          <w:highlight w:val="none"/>
          <w:lang w:eastAsia="zh-CN"/>
        </w:rPr>
        <w:t>九</w:t>
      </w:r>
      <w:r>
        <w:rPr>
          <w:rFonts w:hint="eastAsia" w:ascii="宋体" w:hAnsi="宋体" w:eastAsia="宋体" w:cs="宋体"/>
          <w:b/>
          <w:color w:val="auto"/>
          <w:sz w:val="24"/>
          <w:szCs w:val="28"/>
          <w:highlight w:val="none"/>
        </w:rPr>
        <w:t>、谈判地点</w:t>
      </w:r>
      <w:r>
        <w:rPr>
          <w:rFonts w:hint="eastAsia" w:ascii="宋体" w:hAnsi="宋体" w:cs="宋体"/>
          <w:b/>
          <w:color w:val="auto"/>
          <w:sz w:val="24"/>
          <w:szCs w:val="28"/>
          <w:highlight w:val="none"/>
          <w:lang w:eastAsia="zh-CN"/>
        </w:rPr>
        <w:t>、</w:t>
      </w:r>
      <w:r>
        <w:rPr>
          <w:rFonts w:hint="eastAsia" w:ascii="宋体" w:hAnsi="宋体" w:cs="宋体"/>
          <w:b/>
          <w:color w:val="auto"/>
          <w:sz w:val="24"/>
          <w:szCs w:val="28"/>
          <w:highlight w:val="none"/>
          <w:lang w:val="en-US" w:eastAsia="zh-CN"/>
        </w:rPr>
        <w:t>时间</w:t>
      </w:r>
      <w:r>
        <w:rPr>
          <w:rFonts w:hint="eastAsia" w:ascii="宋体" w:hAnsi="宋体" w:eastAsia="宋体" w:cs="宋体"/>
          <w:b/>
          <w:color w:val="auto"/>
          <w:sz w:val="24"/>
          <w:szCs w:val="28"/>
          <w:highlight w:val="none"/>
        </w:rPr>
        <w:t>：</w:t>
      </w:r>
      <w:r>
        <w:rPr>
          <w:rFonts w:hint="eastAsia" w:ascii="宋体" w:hAnsi="宋体" w:cs="宋体"/>
          <w:bCs/>
          <w:color w:val="auto"/>
          <w:sz w:val="24"/>
          <w:highlight w:val="none"/>
        </w:rPr>
        <w:t>广汉市雒城</w:t>
      </w:r>
      <w:r>
        <w:rPr>
          <w:rFonts w:hint="eastAsia" w:ascii="宋体" w:hAnsi="宋体" w:cs="宋体"/>
          <w:bCs/>
          <w:color w:val="auto"/>
          <w:sz w:val="24"/>
          <w:highlight w:val="none"/>
          <w:lang w:val="en-US" w:eastAsia="zh-CN"/>
        </w:rPr>
        <w:t>街道</w:t>
      </w:r>
      <w:r>
        <w:rPr>
          <w:rFonts w:hint="eastAsia" w:ascii="宋体" w:hAnsi="宋体" w:cs="宋体"/>
          <w:bCs/>
          <w:color w:val="auto"/>
          <w:sz w:val="24"/>
          <w:highlight w:val="none"/>
        </w:rPr>
        <w:t>东西大街西二段147号</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yellow"/>
          <w:lang w:val="en-US" w:eastAsia="zh-CN"/>
        </w:rPr>
        <w:t>2024</w:t>
      </w:r>
      <w:r>
        <w:rPr>
          <w:rFonts w:hint="eastAsia" w:ascii="宋体" w:hAnsi="宋体" w:cs="宋体"/>
          <w:bCs/>
          <w:color w:val="auto"/>
          <w:sz w:val="24"/>
          <w:highlight w:val="yellow"/>
          <w:lang w:val="en-US" w:eastAsia="zh-CN"/>
        </w:rPr>
        <w:t>年3</w:t>
      </w:r>
      <w:r>
        <w:rPr>
          <w:rFonts w:hint="eastAsia" w:ascii="宋体" w:hAnsi="宋体" w:eastAsia="宋体" w:cs="宋体"/>
          <w:bCs/>
          <w:color w:val="auto"/>
          <w:sz w:val="24"/>
          <w:highlight w:val="yellow"/>
        </w:rPr>
        <w:t>月</w:t>
      </w:r>
      <w:r>
        <w:rPr>
          <w:rFonts w:hint="eastAsia" w:ascii="宋体" w:hAnsi="宋体" w:cs="宋体"/>
          <w:bCs/>
          <w:color w:val="auto"/>
          <w:sz w:val="24"/>
          <w:highlight w:val="yellow"/>
          <w:lang w:val="en-US" w:eastAsia="zh-CN"/>
        </w:rPr>
        <w:t>7</w:t>
      </w:r>
      <w:r>
        <w:rPr>
          <w:rFonts w:hint="eastAsia" w:ascii="宋体" w:hAnsi="宋体" w:eastAsia="宋体" w:cs="宋体"/>
          <w:bCs/>
          <w:color w:val="auto"/>
          <w:sz w:val="24"/>
          <w:highlight w:val="yellow"/>
        </w:rPr>
        <w:t>日</w:t>
      </w:r>
      <w:r>
        <w:rPr>
          <w:rFonts w:hint="eastAsia" w:ascii="宋体" w:hAnsi="宋体" w:cs="宋体"/>
          <w:bCs/>
          <w:color w:val="auto"/>
          <w:sz w:val="24"/>
          <w:highlight w:val="yellow"/>
          <w:lang w:val="en-US" w:eastAsia="zh-CN"/>
        </w:rPr>
        <w:t>10</w:t>
      </w:r>
      <w:r>
        <w:rPr>
          <w:rFonts w:hint="eastAsia" w:ascii="宋体" w:hAnsi="宋体" w:eastAsia="宋体" w:cs="宋体"/>
          <w:bCs/>
          <w:color w:val="auto"/>
          <w:sz w:val="24"/>
          <w:highlight w:val="yellow"/>
        </w:rPr>
        <w:t>:</w:t>
      </w:r>
      <w:r>
        <w:rPr>
          <w:rFonts w:hint="eastAsia" w:ascii="宋体" w:hAnsi="宋体" w:cs="宋体"/>
          <w:bCs/>
          <w:color w:val="auto"/>
          <w:sz w:val="24"/>
          <w:highlight w:val="yellow"/>
          <w:lang w:val="en-US" w:eastAsia="zh-CN"/>
        </w:rPr>
        <w:t>00</w:t>
      </w:r>
      <w:r>
        <w:rPr>
          <w:rFonts w:hint="eastAsia" w:ascii="宋体" w:hAnsi="宋体" w:eastAsia="宋体" w:cs="宋体"/>
          <w:color w:val="auto"/>
          <w:sz w:val="24"/>
          <w:szCs w:val="28"/>
          <w:highlight w:val="yellow"/>
        </w:rPr>
        <w:t>（北京时间）</w:t>
      </w:r>
      <w:r>
        <w:rPr>
          <w:rFonts w:hint="eastAsia" w:ascii="宋体" w:hAnsi="宋体" w:eastAsia="宋体" w:cs="宋体"/>
          <w:b/>
          <w:bCs w:val="0"/>
          <w:color w:val="auto"/>
          <w:sz w:val="24"/>
          <w:szCs w:val="28"/>
          <w:highlight w:val="none"/>
        </w:rPr>
        <w:t>。</w:t>
      </w:r>
    </w:p>
    <w:p w14:paraId="4F5A52CB">
      <w:pPr>
        <w:pStyle w:val="62"/>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十、联系方式</w:t>
      </w:r>
    </w:p>
    <w:p w14:paraId="5AB326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eastAsia" w:ascii="宋体" w:hAnsi="宋体" w:eastAsia="宋体" w:cs="宋体"/>
          <w:b/>
          <w:bCs/>
          <w:color w:val="auto"/>
          <w:sz w:val="24"/>
          <w:highlight w:val="none"/>
        </w:rPr>
      </w:pPr>
      <w:bookmarkStart w:id="4" w:name="_Toc217446031"/>
      <w:bookmarkStart w:id="5" w:name="_Toc213396759"/>
      <w:bookmarkStart w:id="6" w:name="_Toc213397009"/>
      <w:bookmarkStart w:id="7" w:name="_Toc508279774"/>
      <w:bookmarkStart w:id="8" w:name="_Toc213496267"/>
      <w:bookmarkStart w:id="9" w:name="_Toc213396945"/>
      <w:r>
        <w:rPr>
          <w:rFonts w:hint="eastAsia" w:ascii="宋体" w:hAnsi="宋体" w:eastAsia="宋体" w:cs="宋体"/>
          <w:b/>
          <w:color w:val="auto"/>
          <w:sz w:val="24"/>
          <w:highlight w:val="none"/>
        </w:rPr>
        <w:t>采购人：</w:t>
      </w:r>
      <w:r>
        <w:rPr>
          <w:rFonts w:hint="eastAsia" w:ascii="宋体" w:hAnsi="宋体" w:cs="宋体"/>
          <w:b/>
          <w:color w:val="auto"/>
          <w:sz w:val="24"/>
          <w:highlight w:val="none"/>
          <w:lang w:eastAsia="zh-CN"/>
        </w:rPr>
        <w:t>广汉市中医医院</w:t>
      </w:r>
      <w:r>
        <w:rPr>
          <w:rFonts w:hint="eastAsia" w:ascii="宋体" w:hAnsi="宋体" w:eastAsia="宋体" w:cs="宋体"/>
          <w:b/>
          <w:bCs/>
          <w:color w:val="auto"/>
          <w:sz w:val="24"/>
          <w:highlight w:val="none"/>
        </w:rPr>
        <w:t xml:space="preserve"> </w:t>
      </w:r>
    </w:p>
    <w:p w14:paraId="7ED24C9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地    址：广汉市雒城</w:t>
      </w:r>
      <w:r>
        <w:rPr>
          <w:rFonts w:hint="eastAsia" w:ascii="宋体" w:hAnsi="宋体" w:cs="宋体"/>
          <w:bCs/>
          <w:color w:val="auto"/>
          <w:sz w:val="24"/>
          <w:highlight w:val="none"/>
          <w:lang w:val="en-US" w:eastAsia="zh-CN"/>
        </w:rPr>
        <w:t>街道</w:t>
      </w:r>
      <w:r>
        <w:rPr>
          <w:rFonts w:hint="eastAsia" w:ascii="宋体" w:hAnsi="宋体" w:cs="宋体"/>
          <w:bCs/>
          <w:color w:val="auto"/>
          <w:sz w:val="24"/>
          <w:highlight w:val="none"/>
        </w:rPr>
        <w:t>东西大街西二段147号</w:t>
      </w:r>
    </w:p>
    <w:p w14:paraId="240EF88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曾文</w:t>
      </w:r>
    </w:p>
    <w:p w14:paraId="1173BDA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0838-5222656</w:t>
      </w:r>
    </w:p>
    <w:p w14:paraId="23CDBF5F">
      <w:pPr>
        <w:pStyle w:val="30"/>
        <w:keepNext w:val="0"/>
        <w:keepLines w:val="0"/>
        <w:pageBreakBefore w:val="0"/>
        <w:widowControl w:val="0"/>
        <w:kinsoku/>
        <w:wordWrap/>
        <w:overflowPunct/>
        <w:topLinePunct w:val="0"/>
        <w:autoSpaceDE/>
        <w:autoSpaceDN/>
        <w:bidi w:val="0"/>
        <w:adjustRightInd/>
        <w:snapToGrid/>
        <w:spacing w:before="60" w:line="360" w:lineRule="auto"/>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highlight w:val="none"/>
        </w:rPr>
        <w:t>第二章  谈判须知</w:t>
      </w:r>
      <w:bookmarkEnd w:id="4"/>
      <w:bookmarkEnd w:id="5"/>
      <w:bookmarkEnd w:id="6"/>
      <w:bookmarkEnd w:id="7"/>
      <w:bookmarkEnd w:id="8"/>
      <w:bookmarkEnd w:id="9"/>
    </w:p>
    <w:p w14:paraId="448B6F06">
      <w:pPr>
        <w:pStyle w:val="3"/>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highlight w:val="none"/>
        </w:rPr>
      </w:pPr>
      <w:bookmarkStart w:id="10" w:name="_Toc508279775"/>
      <w:r>
        <w:rPr>
          <w:rFonts w:hint="eastAsia" w:ascii="宋体" w:hAnsi="宋体" w:eastAsia="宋体" w:cs="宋体"/>
          <w:color w:val="auto"/>
          <w:highlight w:val="none"/>
        </w:rPr>
        <w:t>供应商须知附表</w:t>
      </w:r>
      <w:bookmarkEnd w:id="10"/>
    </w:p>
    <w:tbl>
      <w:tblPr>
        <w:tblStyle w:val="33"/>
        <w:tblW w:w="5026"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613"/>
        <w:gridCol w:w="1792"/>
        <w:gridCol w:w="5990"/>
      </w:tblGrid>
      <w:tr w14:paraId="52FA10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365" w:type="pct"/>
            <w:noWrap w:val="0"/>
            <w:vAlign w:val="center"/>
          </w:tcPr>
          <w:p w14:paraId="0102A3B4">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序号 </w:t>
            </w:r>
          </w:p>
        </w:tc>
        <w:tc>
          <w:tcPr>
            <w:tcW w:w="1067" w:type="pct"/>
            <w:noWrap w:val="0"/>
            <w:vAlign w:val="center"/>
          </w:tcPr>
          <w:p w14:paraId="54326195">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应知事项 </w:t>
            </w:r>
          </w:p>
        </w:tc>
        <w:tc>
          <w:tcPr>
            <w:tcW w:w="3566" w:type="pct"/>
            <w:noWrap w:val="0"/>
            <w:vAlign w:val="center"/>
          </w:tcPr>
          <w:p w14:paraId="5FE63491">
            <w:pPr>
              <w:pStyle w:val="79"/>
              <w:keepLines w:val="0"/>
              <w:pageBreakBefore w:val="0"/>
              <w:kinsoku/>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说明和要求</w:t>
            </w:r>
          </w:p>
        </w:tc>
      </w:tr>
      <w:tr w14:paraId="1C76408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65" w:type="pct"/>
            <w:noWrap w:val="0"/>
            <w:vAlign w:val="center"/>
          </w:tcPr>
          <w:p w14:paraId="22305AF8">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1067" w:type="pct"/>
            <w:noWrap w:val="0"/>
            <w:vAlign w:val="center"/>
          </w:tcPr>
          <w:p w14:paraId="2275A360">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采购预算</w:t>
            </w:r>
          </w:p>
          <w:p w14:paraId="5352CCB5">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（实质性要求）</w:t>
            </w:r>
          </w:p>
        </w:tc>
        <w:tc>
          <w:tcPr>
            <w:tcW w:w="3566" w:type="pct"/>
            <w:noWrap w:val="0"/>
            <w:vAlign w:val="top"/>
          </w:tcPr>
          <w:p w14:paraId="700D6750">
            <w:pPr>
              <w:pStyle w:val="79"/>
              <w:keepNext w:val="0"/>
              <w:keepLines w:val="0"/>
              <w:pageBreakBefore w:val="0"/>
              <w:kinsoku/>
              <w:wordWrap/>
              <w:overflowPunct/>
              <w:topLinePunct w:val="0"/>
              <w:bidi w:val="0"/>
              <w:snapToGrid/>
              <w:spacing w:line="36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eastAsia="zh-CN"/>
              </w:rPr>
              <w:t>本项目</w:t>
            </w:r>
            <w:r>
              <w:rPr>
                <w:rFonts w:hint="eastAsia" w:ascii="宋体" w:hAnsi="宋体" w:eastAsia="宋体" w:cs="宋体"/>
                <w:color w:val="auto"/>
                <w:sz w:val="24"/>
                <w:szCs w:val="24"/>
                <w:highlight w:val="none"/>
              </w:rPr>
              <w:t>采购预算</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3.5</w:t>
            </w:r>
            <w:r>
              <w:rPr>
                <w:rFonts w:hint="eastAsia" w:cs="宋体"/>
                <w:bCs/>
                <w:color w:val="auto"/>
                <w:sz w:val="24"/>
                <w:szCs w:val="24"/>
                <w:highlight w:val="none"/>
                <w:lang w:eastAsia="zh-CN"/>
              </w:rPr>
              <w:t>万元</w:t>
            </w:r>
            <w:r>
              <w:rPr>
                <w:rFonts w:hint="eastAsia" w:cs="宋体"/>
                <w:bCs/>
                <w:color w:val="auto"/>
                <w:sz w:val="24"/>
                <w:szCs w:val="24"/>
                <w:highlight w:val="none"/>
                <w:lang w:val="en-US" w:eastAsia="zh-CN"/>
              </w:rPr>
              <w:t>/1年</w:t>
            </w:r>
            <w:r>
              <w:rPr>
                <w:rFonts w:hint="eastAsia" w:ascii="宋体" w:hAnsi="宋体" w:eastAsia="宋体" w:cs="宋体"/>
                <w:color w:val="auto"/>
                <w:sz w:val="24"/>
                <w:szCs w:val="24"/>
                <w:highlight w:val="none"/>
                <w:lang w:val="en-US" w:eastAsia="zh-CN"/>
              </w:rPr>
              <w:t>；</w:t>
            </w:r>
          </w:p>
          <w:p w14:paraId="5A584F56">
            <w:pPr>
              <w:pStyle w:val="79"/>
              <w:keepNext w:val="0"/>
              <w:keepLines w:val="0"/>
              <w:pageBreakBefore w:val="0"/>
              <w:kinsoku/>
              <w:wordWrap/>
              <w:overflowPunct/>
              <w:topLinePunct w:val="0"/>
              <w:bidi w:val="0"/>
              <w:snapToGrid/>
              <w:spacing w:line="36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超过采购预算的</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为无效</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lang w:val="zh-CN"/>
              </w:rPr>
              <w:t>。</w:t>
            </w:r>
          </w:p>
        </w:tc>
      </w:tr>
      <w:tr w14:paraId="680BEAF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65" w:type="pct"/>
            <w:noWrap w:val="0"/>
            <w:vAlign w:val="center"/>
          </w:tcPr>
          <w:p w14:paraId="3302BB3E">
            <w:pPr>
              <w:pStyle w:val="79"/>
              <w:spacing w:line="360" w:lineRule="auto"/>
              <w:jc w:val="center"/>
              <w:rPr>
                <w:rFonts w:hint="eastAsia" w:ascii="宋体" w:hAnsi="宋体" w:eastAsia="宋体" w:cs="宋体"/>
                <w:color w:val="auto"/>
                <w:sz w:val="24"/>
                <w:szCs w:val="24"/>
                <w:highlight w:val="none"/>
                <w:lang w:val="en-US" w:eastAsia="zh-CN"/>
              </w:rPr>
            </w:pPr>
            <w:r>
              <w:rPr>
                <w:rFonts w:hint="eastAsia"/>
                <w:color w:val="auto"/>
                <w:highlight w:val="none"/>
                <w:lang w:val="zh-CN"/>
              </w:rPr>
              <w:t>2</w:t>
            </w:r>
          </w:p>
        </w:tc>
        <w:tc>
          <w:tcPr>
            <w:tcW w:w="1067" w:type="pct"/>
            <w:noWrap w:val="0"/>
            <w:vAlign w:val="center"/>
          </w:tcPr>
          <w:p w14:paraId="5ED938F3">
            <w:pPr>
              <w:pStyle w:val="79"/>
              <w:spacing w:line="360" w:lineRule="auto"/>
              <w:jc w:val="center"/>
              <w:rPr>
                <w:rFonts w:hint="eastAsia"/>
                <w:b/>
                <w:color w:val="auto"/>
                <w:highlight w:val="none"/>
                <w:lang w:val="zh-CN"/>
              </w:rPr>
            </w:pPr>
            <w:r>
              <w:rPr>
                <w:rFonts w:hint="eastAsia"/>
                <w:b/>
                <w:color w:val="auto"/>
                <w:highlight w:val="none"/>
                <w:lang w:val="zh-CN"/>
              </w:rPr>
              <w:t>最高限价</w:t>
            </w:r>
          </w:p>
          <w:p w14:paraId="34ED22F6">
            <w:pPr>
              <w:pStyle w:val="79"/>
              <w:spacing w:line="360" w:lineRule="auto"/>
              <w:jc w:val="center"/>
              <w:rPr>
                <w:rFonts w:hint="eastAsia" w:ascii="宋体" w:hAnsi="宋体" w:eastAsia="宋体" w:cs="宋体"/>
                <w:b/>
                <w:color w:val="auto"/>
                <w:sz w:val="24"/>
                <w:szCs w:val="24"/>
                <w:highlight w:val="none"/>
                <w:lang w:val="zh-CN" w:eastAsia="zh-CN" w:bidi="ar-SA"/>
              </w:rPr>
            </w:pPr>
            <w:r>
              <w:rPr>
                <w:rFonts w:hint="eastAsia"/>
                <w:b/>
                <w:color w:val="auto"/>
                <w:highlight w:val="none"/>
                <w:lang w:val="zh-CN"/>
              </w:rPr>
              <w:t>（实质性要求）</w:t>
            </w:r>
          </w:p>
        </w:tc>
        <w:tc>
          <w:tcPr>
            <w:tcW w:w="3566" w:type="pct"/>
            <w:noWrap w:val="0"/>
            <w:vAlign w:val="center"/>
          </w:tcPr>
          <w:p w14:paraId="7C7F376C">
            <w:pPr>
              <w:pStyle w:val="79"/>
              <w:spacing w:line="360" w:lineRule="auto"/>
              <w:ind w:firstLine="240" w:firstLineChars="100"/>
              <w:jc w:val="both"/>
              <w:rPr>
                <w:rFonts w:hint="eastAsia"/>
                <w:color w:val="auto"/>
                <w:highlight w:val="none"/>
                <w:lang w:val="zh-CN"/>
              </w:rPr>
            </w:pPr>
            <w:r>
              <w:rPr>
                <w:rFonts w:hint="eastAsia"/>
                <w:bCs/>
                <w:color w:val="auto"/>
                <w:highlight w:val="none"/>
              </w:rPr>
              <w:t>本项目</w:t>
            </w:r>
            <w:r>
              <w:rPr>
                <w:rFonts w:hint="eastAsia"/>
                <w:color w:val="auto"/>
                <w:highlight w:val="none"/>
                <w:lang w:val="zh-CN"/>
              </w:rPr>
              <w:t>最高限价：</w:t>
            </w:r>
            <w:r>
              <w:rPr>
                <w:rFonts w:hint="eastAsia"/>
                <w:color w:val="auto"/>
                <w:highlight w:val="none"/>
                <w:lang w:val="en-US" w:eastAsia="zh-CN"/>
              </w:rPr>
              <w:t>3.5</w:t>
            </w:r>
            <w:r>
              <w:rPr>
                <w:rFonts w:hint="eastAsia" w:cs="宋体"/>
                <w:bCs/>
                <w:color w:val="auto"/>
                <w:sz w:val="24"/>
                <w:szCs w:val="24"/>
                <w:highlight w:val="none"/>
                <w:lang w:eastAsia="zh-CN"/>
              </w:rPr>
              <w:t>万元</w:t>
            </w:r>
            <w:r>
              <w:rPr>
                <w:rFonts w:hint="eastAsia" w:cs="宋体"/>
                <w:bCs/>
                <w:color w:val="auto"/>
                <w:sz w:val="24"/>
                <w:szCs w:val="24"/>
                <w:highlight w:val="none"/>
                <w:lang w:val="en-US" w:eastAsia="zh-CN"/>
              </w:rPr>
              <w:t>/1年</w:t>
            </w:r>
            <w:bookmarkStart w:id="75" w:name="_GoBack"/>
            <w:bookmarkEnd w:id="75"/>
            <w:r>
              <w:rPr>
                <w:rFonts w:hint="eastAsia"/>
                <w:color w:val="auto"/>
                <w:highlight w:val="none"/>
                <w:lang w:val="zh-CN"/>
              </w:rPr>
              <w:t>；</w:t>
            </w:r>
          </w:p>
          <w:p w14:paraId="789AC401">
            <w:pPr>
              <w:pStyle w:val="79"/>
              <w:spacing w:line="360" w:lineRule="auto"/>
              <w:ind w:firstLine="240" w:firstLineChars="100"/>
              <w:jc w:val="both"/>
              <w:rPr>
                <w:rFonts w:hint="eastAsia" w:ascii="宋体" w:hAnsi="宋体" w:eastAsia="宋体" w:cs="宋体"/>
                <w:color w:val="auto"/>
                <w:kern w:val="2"/>
                <w:sz w:val="24"/>
                <w:szCs w:val="24"/>
                <w:highlight w:val="none"/>
                <w:lang w:val="zh-CN" w:eastAsia="zh-CN" w:bidi="ar-SA"/>
              </w:rPr>
            </w:pPr>
            <w:r>
              <w:rPr>
                <w:rFonts w:hint="eastAsia"/>
                <w:color w:val="auto"/>
                <w:highlight w:val="none"/>
                <w:lang w:val="zh-CN"/>
              </w:rPr>
              <w:t>超过最高限价的报价无效。</w:t>
            </w:r>
          </w:p>
        </w:tc>
      </w:tr>
      <w:tr w14:paraId="11B1FC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87" w:hRule="atLeast"/>
          <w:jc w:val="center"/>
        </w:trPr>
        <w:tc>
          <w:tcPr>
            <w:tcW w:w="365" w:type="pct"/>
            <w:noWrap w:val="0"/>
            <w:vAlign w:val="center"/>
          </w:tcPr>
          <w:p w14:paraId="25E8BDE7">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zh-CN" w:eastAsia="zh-CN"/>
              </w:rPr>
            </w:pPr>
            <w:r>
              <w:rPr>
                <w:rFonts w:hint="eastAsia" w:eastAsia="宋体" w:cs="宋体"/>
                <w:color w:val="auto"/>
                <w:sz w:val="24"/>
                <w:szCs w:val="24"/>
                <w:highlight w:val="none"/>
                <w:lang w:val="en-US" w:eastAsia="zh-CN"/>
              </w:rPr>
              <w:t>3</w:t>
            </w:r>
          </w:p>
        </w:tc>
        <w:tc>
          <w:tcPr>
            <w:tcW w:w="1067" w:type="pct"/>
            <w:noWrap w:val="0"/>
            <w:vAlign w:val="center"/>
          </w:tcPr>
          <w:p w14:paraId="2D81581F">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是否接受联合体</w:t>
            </w:r>
            <w:r>
              <w:rPr>
                <w:rFonts w:hint="eastAsia" w:eastAsia="宋体" w:cs="宋体"/>
                <w:b/>
                <w:color w:val="auto"/>
                <w:sz w:val="24"/>
                <w:szCs w:val="24"/>
                <w:highlight w:val="none"/>
                <w:lang w:val="zh-CN"/>
              </w:rPr>
              <w:t>报价</w:t>
            </w:r>
          </w:p>
        </w:tc>
        <w:tc>
          <w:tcPr>
            <w:tcW w:w="3566" w:type="pct"/>
            <w:noWrap w:val="0"/>
            <w:vAlign w:val="center"/>
          </w:tcPr>
          <w:p w14:paraId="08E909C5">
            <w:pPr>
              <w:pStyle w:val="79"/>
              <w:keepNext w:val="0"/>
              <w:keepLines w:val="0"/>
              <w:pageBreakBefore w:val="0"/>
              <w:kinsoku/>
              <w:wordWrap/>
              <w:overflowPunct/>
              <w:topLinePunct w:val="0"/>
              <w:bidi w:val="0"/>
              <w:snapToGrid/>
              <w:spacing w:line="36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zh-CN"/>
              </w:rPr>
              <w:t>不接受联合体。</w:t>
            </w:r>
          </w:p>
        </w:tc>
      </w:tr>
      <w:tr w14:paraId="4AD974E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00" w:hRule="atLeast"/>
          <w:jc w:val="center"/>
        </w:trPr>
        <w:tc>
          <w:tcPr>
            <w:tcW w:w="365" w:type="pct"/>
            <w:noWrap w:val="0"/>
            <w:vAlign w:val="center"/>
          </w:tcPr>
          <w:p w14:paraId="6F5E65AF">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zh-CN" w:eastAsia="zh-CN"/>
              </w:rPr>
            </w:pPr>
            <w:r>
              <w:rPr>
                <w:rFonts w:hint="eastAsia" w:eastAsia="宋体" w:cs="宋体"/>
                <w:color w:val="auto"/>
                <w:sz w:val="24"/>
                <w:szCs w:val="24"/>
                <w:highlight w:val="none"/>
                <w:lang w:val="en-US" w:eastAsia="zh-CN"/>
              </w:rPr>
              <w:t>4</w:t>
            </w:r>
          </w:p>
        </w:tc>
        <w:tc>
          <w:tcPr>
            <w:tcW w:w="1067" w:type="pct"/>
            <w:noWrap w:val="0"/>
            <w:vAlign w:val="center"/>
          </w:tcPr>
          <w:p w14:paraId="0A553E51">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低于成本价</w:t>
            </w:r>
          </w:p>
          <w:p w14:paraId="1B35CF2C">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不正当竞争预防措施</w:t>
            </w:r>
          </w:p>
          <w:p w14:paraId="42E0952D">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（实质性要求）</w:t>
            </w:r>
          </w:p>
        </w:tc>
        <w:tc>
          <w:tcPr>
            <w:tcW w:w="3566" w:type="pct"/>
            <w:noWrap w:val="0"/>
            <w:vAlign w:val="top"/>
          </w:tcPr>
          <w:p w14:paraId="2392E3BE">
            <w:pPr>
              <w:pStyle w:val="79"/>
              <w:keepNext w:val="0"/>
              <w:keepLines w:val="0"/>
              <w:pageBreakBefore w:val="0"/>
              <w:kinsoku/>
              <w:wordWrap/>
              <w:overflowPunct/>
              <w:topLinePunct w:val="0"/>
              <w:bidi w:val="0"/>
              <w:snapToGrid/>
              <w:spacing w:line="360" w:lineRule="auto"/>
              <w:ind w:left="0" w:leftChars="0" w:right="0" w:rightChars="0" w:firstLine="240" w:firstLineChars="100"/>
              <w:jc w:val="both"/>
              <w:textAlignment w:val="auto"/>
              <w:rPr>
                <w:rFonts w:hint="eastAsia" w:ascii="宋体" w:hAnsi="宋体" w:eastAsia="宋体" w:cs="宋体"/>
                <w:color w:val="auto"/>
                <w:sz w:val="24"/>
                <w:szCs w:val="24"/>
                <w:highlight w:val="none"/>
              </w:rPr>
            </w:pPr>
            <w:r>
              <w:rPr>
                <w:rFonts w:hint="eastAsia"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谈判小组认为供应商的报价明显低于其他供应商的报价，有可能影响产品质量或者不能诚信履约的，应当要求其在评审现场合理的时间内提供书面说明，必要时提交相关证明材料；供应商不能证明其报价合理性的，谈判小组应当将其作为无效响应处理。</w:t>
            </w:r>
          </w:p>
          <w:p w14:paraId="5B38DCD5">
            <w:pPr>
              <w:pStyle w:val="79"/>
              <w:keepNext w:val="0"/>
              <w:keepLines w:val="0"/>
              <w:pageBreakBefore w:val="0"/>
              <w:kinsoku/>
              <w:wordWrap/>
              <w:overflowPunct/>
              <w:topLinePunct w:val="0"/>
              <w:bidi w:val="0"/>
              <w:snapToGrid/>
              <w:spacing w:line="360" w:lineRule="auto"/>
              <w:ind w:left="0" w:leftChars="0" w:right="0" w:rightChars="0"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供应商的书面说明材料应当按照国家财务会计制度的规定要求，逐项就供应商提供的货物、工程和服务的主营业务成本、税金及附加、销售费用、管理费用、财务费用等成本构成事项详细陈述。</w:t>
            </w:r>
          </w:p>
          <w:p w14:paraId="1B866351">
            <w:pPr>
              <w:keepNext w:val="0"/>
              <w:keepLines w:val="0"/>
              <w:pageBreakBefore w:val="0"/>
              <w:kinsoku/>
              <w:wordWrap/>
              <w:overflowPunct/>
              <w:topLinePunct w:val="0"/>
              <w:bidi w:val="0"/>
              <w:snapToGrid/>
              <w:spacing w:line="360" w:lineRule="auto"/>
              <w:ind w:left="0" w:leftChars="0" w:right="0" w:rightChars="0"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供应商书面说明应当签字确认或者加盖公章，否则无效。书面说明的签字确认，由其</w:t>
            </w:r>
            <w:r>
              <w:rPr>
                <w:rFonts w:hint="eastAsia" w:ascii="宋体" w:hAnsi="宋体" w:eastAsia="宋体" w:cs="宋体"/>
                <w:color w:val="auto"/>
                <w:sz w:val="24"/>
                <w:szCs w:val="24"/>
                <w:highlight w:val="none"/>
                <w:lang w:eastAsia="zh-CN"/>
              </w:rPr>
              <w:t>法定代表人（负责人）</w:t>
            </w:r>
            <w:r>
              <w:rPr>
                <w:rFonts w:hint="eastAsia" w:ascii="宋体" w:hAnsi="宋体" w:eastAsia="宋体" w:cs="宋体"/>
                <w:color w:val="auto"/>
                <w:sz w:val="24"/>
                <w:szCs w:val="24"/>
                <w:highlight w:val="none"/>
              </w:rPr>
              <w:t>/主要负责人/本人或者其授权代表签字确认。</w:t>
            </w:r>
          </w:p>
          <w:p w14:paraId="7CEF45C6">
            <w:pPr>
              <w:pStyle w:val="79"/>
              <w:keepNext w:val="0"/>
              <w:keepLines w:val="0"/>
              <w:pageBreakBefore w:val="0"/>
              <w:kinsoku/>
              <w:wordWrap/>
              <w:overflowPunct/>
              <w:topLinePunct w:val="0"/>
              <w:bidi w:val="0"/>
              <w:snapToGrid/>
              <w:spacing w:line="36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zh-CN"/>
              </w:rPr>
            </w:pPr>
            <w:r>
              <w:rPr>
                <w:rFonts w:hint="eastAsia"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14:paraId="0C7F449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65" w:type="pct"/>
            <w:noWrap w:val="0"/>
            <w:vAlign w:val="center"/>
          </w:tcPr>
          <w:p w14:paraId="15223873">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zh-CN" w:eastAsia="zh-CN"/>
              </w:rPr>
            </w:pPr>
            <w:r>
              <w:rPr>
                <w:rFonts w:hint="eastAsia" w:eastAsia="宋体" w:cs="宋体"/>
                <w:color w:val="auto"/>
                <w:sz w:val="24"/>
                <w:szCs w:val="24"/>
                <w:highlight w:val="none"/>
                <w:lang w:val="en-US" w:eastAsia="zh-CN"/>
              </w:rPr>
              <w:t>5</w:t>
            </w:r>
          </w:p>
        </w:tc>
        <w:tc>
          <w:tcPr>
            <w:tcW w:w="1067" w:type="pct"/>
            <w:noWrap w:val="0"/>
            <w:vAlign w:val="center"/>
          </w:tcPr>
          <w:p w14:paraId="4BDBED0A">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解释</w:t>
            </w:r>
          </w:p>
        </w:tc>
        <w:tc>
          <w:tcPr>
            <w:tcW w:w="3566" w:type="pct"/>
            <w:noWrap w:val="0"/>
            <w:vAlign w:val="center"/>
          </w:tcPr>
          <w:p w14:paraId="5CCBD4B3">
            <w:pPr>
              <w:keepNext w:val="0"/>
              <w:keepLines w:val="0"/>
              <w:pageBreakBefore w:val="0"/>
              <w:kinsoku/>
              <w:wordWrap/>
              <w:overflowPunct/>
              <w:topLinePunct w:val="0"/>
              <w:bidi w:val="0"/>
              <w:snapToGrid/>
              <w:spacing w:line="360" w:lineRule="auto"/>
              <w:ind w:left="0" w:leftChars="0" w:right="0" w:rightChars="0" w:firstLine="240" w:firstLineChars="1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竞争性谈判文件第三章</w:t>
            </w:r>
            <w:r>
              <w:rPr>
                <w:rFonts w:hint="eastAsia" w:ascii="宋体" w:hAnsi="宋体" w:eastAsia="宋体" w:cs="宋体"/>
                <w:color w:val="auto"/>
                <w:kern w:val="0"/>
                <w:sz w:val="24"/>
                <w:szCs w:val="24"/>
                <w:highlight w:val="yellow"/>
                <w:lang w:val="zh-CN"/>
              </w:rPr>
              <w:t>第5款</w:t>
            </w:r>
            <w:r>
              <w:rPr>
                <w:rFonts w:hint="eastAsia" w:ascii="宋体" w:hAnsi="宋体" w:eastAsia="宋体" w:cs="宋体"/>
                <w:color w:val="auto"/>
                <w:kern w:val="0"/>
                <w:sz w:val="24"/>
                <w:szCs w:val="24"/>
                <w:highlight w:val="none"/>
                <w:lang w:val="zh-CN"/>
              </w:rPr>
              <w:t>中“重大违法记录”是指：供应商因违法经营受到刑事处罚或者责令停产、吊销许可证或者执照、较大数额的罚款等行政处罚。其中较大数额罚款的具体金额标准</w:t>
            </w:r>
            <w:r>
              <w:rPr>
                <w:rFonts w:hint="eastAsia" w:ascii="宋体" w:hAnsi="宋体" w:eastAsia="宋体" w:cs="宋体"/>
                <w:color w:val="auto"/>
                <w:sz w:val="24"/>
                <w:szCs w:val="24"/>
                <w:highlight w:val="none"/>
                <w:lang w:eastAsia="zh-CN"/>
              </w:rPr>
              <w:t>以财库</w:t>
            </w:r>
            <w:r>
              <w:rPr>
                <w:rFonts w:hint="eastAsia" w:ascii="宋体" w:hAnsi="宋体" w:eastAsia="宋体" w:cs="宋体"/>
                <w:color w:val="auto"/>
                <w:kern w:val="0"/>
                <w:sz w:val="24"/>
                <w:szCs w:val="24"/>
                <w:highlight w:val="none"/>
                <w:lang w:val="en-US" w:eastAsia="zh-CN"/>
              </w:rPr>
              <w:t>〔2022〕3号文为准，即</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认定为200万元以上的罚款，法律、行政法规以及国务院有关部门明确规定相关领域“较大数额罚款”标准高于200万元的，从其规定。</w:t>
            </w:r>
          </w:p>
        </w:tc>
      </w:tr>
      <w:tr w14:paraId="5484BF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65" w:type="pct"/>
            <w:noWrap w:val="0"/>
            <w:vAlign w:val="center"/>
          </w:tcPr>
          <w:p w14:paraId="23909F14">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6</w:t>
            </w:r>
          </w:p>
        </w:tc>
        <w:tc>
          <w:tcPr>
            <w:tcW w:w="1067" w:type="pct"/>
            <w:noWrap w:val="0"/>
            <w:vAlign w:val="center"/>
          </w:tcPr>
          <w:p w14:paraId="180877C1">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谈判情况公告</w:t>
            </w:r>
          </w:p>
        </w:tc>
        <w:tc>
          <w:tcPr>
            <w:tcW w:w="3566" w:type="pct"/>
            <w:noWrap w:val="0"/>
            <w:vAlign w:val="center"/>
          </w:tcPr>
          <w:p w14:paraId="50865D99">
            <w:pPr>
              <w:pStyle w:val="79"/>
              <w:keepNext w:val="0"/>
              <w:keepLines w:val="0"/>
              <w:pageBreakBefore w:val="0"/>
              <w:kinsoku/>
              <w:wordWrap/>
              <w:overflowPunct/>
              <w:topLinePunct w:val="0"/>
              <w:bidi w:val="0"/>
              <w:snapToGrid/>
              <w:spacing w:line="36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供应商谈判结果在</w:t>
            </w:r>
            <w:r>
              <w:rPr>
                <w:rFonts w:hint="eastAsia" w:ascii="宋体" w:hAnsi="宋体" w:eastAsia="宋体" w:cs="宋体"/>
                <w:color w:val="auto"/>
                <w:sz w:val="24"/>
                <w:highlight w:val="none"/>
                <w:lang w:val="en-US" w:eastAsia="zh-CN"/>
              </w:rPr>
              <w:t>广汉市中医医院官方网站</w:t>
            </w:r>
            <w:r>
              <w:rPr>
                <w:rFonts w:hint="eastAsia" w:ascii="宋体" w:hAnsi="宋体" w:eastAsia="宋体" w:cs="宋体"/>
                <w:color w:val="auto"/>
                <w:sz w:val="24"/>
                <w:highlight w:val="none"/>
              </w:rPr>
              <w:t>（http://</w:t>
            </w:r>
            <w:r>
              <w:rPr>
                <w:rFonts w:hint="eastAsia" w:ascii="宋体" w:hAnsi="宋体" w:eastAsia="宋体" w:cs="宋体"/>
                <w:color w:val="auto"/>
                <w:sz w:val="24"/>
                <w:highlight w:val="none"/>
                <w:lang w:val="en-US" w:eastAsia="zh-CN"/>
              </w:rPr>
              <w:t>www.</w:t>
            </w:r>
            <w:r>
              <w:rPr>
                <w:rFonts w:hint="eastAsia" w:ascii="宋体" w:hAnsi="宋体" w:eastAsia="宋体" w:cs="宋体"/>
                <w:color w:val="auto"/>
                <w:sz w:val="24"/>
                <w:highlight w:val="none"/>
              </w:rPr>
              <w:t>ghszyyy.com/）</w:t>
            </w:r>
            <w:r>
              <w:rPr>
                <w:rFonts w:hint="eastAsia" w:ascii="宋体" w:hAnsi="宋体" w:eastAsia="宋体" w:cs="宋体"/>
                <w:color w:val="auto"/>
                <w:sz w:val="24"/>
                <w:szCs w:val="24"/>
                <w:highlight w:val="none"/>
                <w:lang w:val="zh-CN"/>
              </w:rPr>
              <w:t>予以公告。</w:t>
            </w:r>
          </w:p>
        </w:tc>
      </w:tr>
      <w:tr w14:paraId="69C8D41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65" w:type="pct"/>
            <w:noWrap w:val="0"/>
            <w:vAlign w:val="center"/>
          </w:tcPr>
          <w:p w14:paraId="6A99C666">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7</w:t>
            </w:r>
          </w:p>
        </w:tc>
        <w:tc>
          <w:tcPr>
            <w:tcW w:w="1067" w:type="pct"/>
            <w:noWrap w:val="0"/>
            <w:vAlign w:val="center"/>
          </w:tcPr>
          <w:p w14:paraId="449ED8FA">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谈判保证金</w:t>
            </w:r>
          </w:p>
          <w:p w14:paraId="1FD4976E">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（实质性要求）</w:t>
            </w:r>
          </w:p>
        </w:tc>
        <w:tc>
          <w:tcPr>
            <w:tcW w:w="3566" w:type="pct"/>
            <w:noWrap w:val="0"/>
            <w:vAlign w:val="center"/>
          </w:tcPr>
          <w:p w14:paraId="24855ED7">
            <w:pPr>
              <w:pStyle w:val="79"/>
              <w:keepNext w:val="0"/>
              <w:keepLines w:val="0"/>
              <w:pageBreakBefore w:val="0"/>
              <w:kinsoku/>
              <w:wordWrap/>
              <w:overflowPunct/>
              <w:topLinePunct w:val="0"/>
              <w:bidi w:val="0"/>
              <w:snapToGrid/>
              <w:spacing w:line="36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本项目不收取</w:t>
            </w:r>
            <w:r>
              <w:rPr>
                <w:rFonts w:hint="eastAsia" w:ascii="宋体" w:hAnsi="宋体" w:eastAsia="宋体" w:cs="宋体"/>
                <w:bCs/>
                <w:color w:val="auto"/>
                <w:sz w:val="24"/>
                <w:szCs w:val="24"/>
                <w:highlight w:val="none"/>
                <w:lang w:eastAsia="zh-CN"/>
              </w:rPr>
              <w:t>谈判</w:t>
            </w:r>
            <w:r>
              <w:rPr>
                <w:rFonts w:hint="eastAsia" w:ascii="宋体" w:hAnsi="宋体" w:eastAsia="宋体" w:cs="宋体"/>
                <w:bCs/>
                <w:color w:val="auto"/>
                <w:sz w:val="24"/>
                <w:szCs w:val="24"/>
                <w:highlight w:val="none"/>
              </w:rPr>
              <w:t>保证金。</w:t>
            </w:r>
          </w:p>
        </w:tc>
      </w:tr>
      <w:tr w14:paraId="79490B3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9" w:hRule="atLeast"/>
          <w:jc w:val="center"/>
        </w:trPr>
        <w:tc>
          <w:tcPr>
            <w:tcW w:w="365" w:type="pct"/>
            <w:noWrap w:val="0"/>
            <w:vAlign w:val="center"/>
          </w:tcPr>
          <w:p w14:paraId="670EA10D">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zh-CN" w:eastAsia="zh-CN"/>
              </w:rPr>
            </w:pPr>
            <w:r>
              <w:rPr>
                <w:rFonts w:hint="eastAsia" w:eastAsia="宋体" w:cs="宋体"/>
                <w:color w:val="auto"/>
                <w:sz w:val="24"/>
                <w:szCs w:val="24"/>
                <w:highlight w:val="none"/>
                <w:lang w:val="en-US" w:eastAsia="zh-CN"/>
              </w:rPr>
              <w:t>8</w:t>
            </w:r>
          </w:p>
        </w:tc>
        <w:tc>
          <w:tcPr>
            <w:tcW w:w="1067" w:type="pct"/>
            <w:noWrap w:val="0"/>
            <w:vAlign w:val="center"/>
          </w:tcPr>
          <w:p w14:paraId="3026B3E3">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履约保证金</w:t>
            </w:r>
          </w:p>
          <w:p w14:paraId="15048B1F">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（实质性要求）</w:t>
            </w:r>
          </w:p>
        </w:tc>
        <w:tc>
          <w:tcPr>
            <w:tcW w:w="3566" w:type="pct"/>
            <w:noWrap w:val="0"/>
            <w:vAlign w:val="center"/>
          </w:tcPr>
          <w:p w14:paraId="47AD645C">
            <w:pPr>
              <w:pStyle w:val="79"/>
              <w:keepNext w:val="0"/>
              <w:keepLines w:val="0"/>
              <w:pageBreakBefore w:val="0"/>
              <w:kinsoku/>
              <w:wordWrap/>
              <w:overflowPunct/>
              <w:topLinePunct w:val="0"/>
              <w:bidi w:val="0"/>
              <w:snapToGrid/>
              <w:spacing w:line="36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本项目不收取履约保证金。</w:t>
            </w:r>
          </w:p>
        </w:tc>
      </w:tr>
      <w:tr w14:paraId="71895AA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65" w:type="pct"/>
            <w:noWrap w:val="0"/>
            <w:vAlign w:val="center"/>
          </w:tcPr>
          <w:p w14:paraId="79E5E44D">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eastAsia="宋体" w:cs="宋体"/>
                <w:color w:val="auto"/>
                <w:sz w:val="24"/>
                <w:szCs w:val="24"/>
                <w:highlight w:val="none"/>
                <w:lang w:val="en-US" w:eastAsia="zh-CN" w:bidi="ar-SA"/>
              </w:rPr>
              <w:t>9</w:t>
            </w:r>
          </w:p>
        </w:tc>
        <w:tc>
          <w:tcPr>
            <w:tcW w:w="1067" w:type="pct"/>
            <w:noWrap w:val="0"/>
            <w:vAlign w:val="center"/>
          </w:tcPr>
          <w:p w14:paraId="268273C5">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合同分包</w:t>
            </w:r>
          </w:p>
          <w:p w14:paraId="1FC6A3F9">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color w:val="auto"/>
                <w:sz w:val="24"/>
                <w:szCs w:val="24"/>
                <w:highlight w:val="none"/>
                <w:lang w:val="zh-CN"/>
              </w:rPr>
              <w:t>（实质性要求）</w:t>
            </w:r>
          </w:p>
        </w:tc>
        <w:tc>
          <w:tcPr>
            <w:tcW w:w="3566" w:type="pct"/>
            <w:noWrap w:val="0"/>
            <w:vAlign w:val="center"/>
          </w:tcPr>
          <w:p w14:paraId="4C124B94">
            <w:pPr>
              <w:keepNext w:val="0"/>
              <w:keepLines w:val="0"/>
              <w:pageBreakBefore w:val="0"/>
              <w:kinsoku/>
              <w:wordWrap/>
              <w:overflowPunct/>
              <w:topLinePunct w:val="0"/>
              <w:bidi w:val="0"/>
              <w:snapToGrid/>
              <w:spacing w:line="360" w:lineRule="auto"/>
              <w:ind w:left="0" w:leftChars="0" w:right="0" w:rightChars="0" w:firstLine="240" w:firstLineChars="10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本项目不接受合同分包。</w:t>
            </w:r>
          </w:p>
        </w:tc>
      </w:tr>
      <w:tr w14:paraId="3906B8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65" w:type="pct"/>
            <w:noWrap w:val="0"/>
            <w:vAlign w:val="center"/>
          </w:tcPr>
          <w:p w14:paraId="57274AF0">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10</w:t>
            </w:r>
          </w:p>
        </w:tc>
        <w:tc>
          <w:tcPr>
            <w:tcW w:w="1067" w:type="pct"/>
            <w:noWrap w:val="0"/>
            <w:vAlign w:val="center"/>
          </w:tcPr>
          <w:p w14:paraId="2D7D040E">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谈判</w:t>
            </w:r>
            <w:r>
              <w:rPr>
                <w:rFonts w:hint="eastAsia" w:ascii="宋体" w:hAnsi="宋体" w:eastAsia="宋体" w:cs="宋体"/>
                <w:color w:val="auto"/>
                <w:sz w:val="24"/>
                <w:szCs w:val="24"/>
                <w:highlight w:val="none"/>
                <w:lang w:val="zh-CN"/>
              </w:rPr>
              <w:t>文件咨询</w:t>
            </w:r>
          </w:p>
        </w:tc>
        <w:tc>
          <w:tcPr>
            <w:tcW w:w="3566" w:type="pct"/>
            <w:noWrap w:val="0"/>
            <w:vAlign w:val="center"/>
          </w:tcPr>
          <w:p w14:paraId="116079EA">
            <w:pPr>
              <w:pStyle w:val="79"/>
              <w:keepNext w:val="0"/>
              <w:keepLines w:val="0"/>
              <w:pageBreakBefore w:val="0"/>
              <w:kinsoku/>
              <w:wordWrap/>
              <w:overflowPunct/>
              <w:topLinePunct w:val="0"/>
              <w:bidi w:val="0"/>
              <w:snapToGrid/>
              <w:spacing w:line="36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cs="宋体"/>
                <w:color w:val="auto"/>
                <w:sz w:val="24"/>
                <w:szCs w:val="24"/>
                <w:highlight w:val="none"/>
                <w:lang w:val="en-US" w:eastAsia="zh-CN"/>
              </w:rPr>
              <w:t>曾文</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 xml:space="preserve">  联系电话：</w:t>
            </w:r>
            <w:r>
              <w:rPr>
                <w:rFonts w:hint="eastAsia" w:cs="宋体"/>
                <w:color w:val="auto"/>
                <w:sz w:val="24"/>
                <w:szCs w:val="24"/>
                <w:highlight w:val="none"/>
                <w:lang w:val="en-US" w:eastAsia="zh-CN"/>
              </w:rPr>
              <w:t>0838-5222656</w:t>
            </w:r>
            <w:r>
              <w:rPr>
                <w:rFonts w:hint="eastAsia" w:ascii="宋体" w:hAnsi="宋体" w:eastAsia="宋体" w:cs="宋体"/>
                <w:color w:val="auto"/>
                <w:sz w:val="24"/>
                <w:szCs w:val="24"/>
                <w:highlight w:val="none"/>
                <w:lang w:val="zh-CN"/>
              </w:rPr>
              <w:t xml:space="preserve">          </w:t>
            </w:r>
          </w:p>
        </w:tc>
      </w:tr>
      <w:tr w14:paraId="6FAE93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65" w:type="pct"/>
            <w:noWrap w:val="0"/>
            <w:vAlign w:val="center"/>
          </w:tcPr>
          <w:p w14:paraId="09F2CA9C">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1</w:t>
            </w:r>
            <w:r>
              <w:rPr>
                <w:rFonts w:hint="eastAsia" w:eastAsia="宋体" w:cs="宋体"/>
                <w:color w:val="auto"/>
                <w:sz w:val="24"/>
                <w:szCs w:val="24"/>
                <w:highlight w:val="none"/>
                <w:lang w:val="en-US" w:eastAsia="zh-CN"/>
              </w:rPr>
              <w:t>1</w:t>
            </w:r>
          </w:p>
        </w:tc>
        <w:tc>
          <w:tcPr>
            <w:tcW w:w="1067" w:type="pct"/>
            <w:noWrap w:val="0"/>
            <w:vAlign w:val="center"/>
          </w:tcPr>
          <w:p w14:paraId="5B534607">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谈判过程、结果工作咨询</w:t>
            </w:r>
          </w:p>
        </w:tc>
        <w:tc>
          <w:tcPr>
            <w:tcW w:w="3566" w:type="pct"/>
            <w:noWrap w:val="0"/>
            <w:vAlign w:val="center"/>
          </w:tcPr>
          <w:p w14:paraId="45060760">
            <w:pPr>
              <w:pStyle w:val="79"/>
              <w:keepNext w:val="0"/>
              <w:keepLines w:val="0"/>
              <w:pageBreakBefore w:val="0"/>
              <w:kinsoku/>
              <w:wordWrap/>
              <w:overflowPunct/>
              <w:topLinePunct w:val="0"/>
              <w:bidi w:val="0"/>
              <w:snapToGrid/>
              <w:spacing w:line="36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cs="宋体"/>
                <w:color w:val="auto"/>
                <w:sz w:val="24"/>
                <w:szCs w:val="24"/>
                <w:highlight w:val="none"/>
                <w:lang w:val="en-US" w:eastAsia="zh-CN"/>
              </w:rPr>
              <w:t>曾文</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 xml:space="preserve">  联系电话：</w:t>
            </w:r>
            <w:r>
              <w:rPr>
                <w:rFonts w:hint="eastAsia" w:cs="宋体"/>
                <w:color w:val="auto"/>
                <w:sz w:val="24"/>
                <w:szCs w:val="24"/>
                <w:highlight w:val="none"/>
                <w:lang w:val="en-US" w:eastAsia="zh-CN"/>
              </w:rPr>
              <w:t>0838-5222656</w:t>
            </w:r>
            <w:r>
              <w:rPr>
                <w:rFonts w:hint="eastAsia" w:ascii="宋体" w:hAnsi="宋体" w:eastAsia="宋体" w:cs="宋体"/>
                <w:color w:val="auto"/>
                <w:sz w:val="24"/>
                <w:szCs w:val="24"/>
                <w:highlight w:val="none"/>
                <w:lang w:val="zh-CN"/>
              </w:rPr>
              <w:t xml:space="preserve"> </w:t>
            </w:r>
          </w:p>
        </w:tc>
      </w:tr>
      <w:tr w14:paraId="34C834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65" w:type="pct"/>
            <w:noWrap w:val="0"/>
            <w:vAlign w:val="center"/>
          </w:tcPr>
          <w:p w14:paraId="66A4DDD8">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eastAsia="宋体" w:cs="宋体"/>
                <w:color w:val="auto"/>
                <w:sz w:val="24"/>
                <w:szCs w:val="24"/>
                <w:highlight w:val="none"/>
                <w:lang w:val="en-US" w:eastAsia="zh-CN"/>
              </w:rPr>
              <w:t>2</w:t>
            </w:r>
          </w:p>
        </w:tc>
        <w:tc>
          <w:tcPr>
            <w:tcW w:w="1067" w:type="pct"/>
            <w:noWrap w:val="0"/>
            <w:vAlign w:val="center"/>
          </w:tcPr>
          <w:p w14:paraId="76AFB7A5">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成交通知书领取</w:t>
            </w:r>
          </w:p>
        </w:tc>
        <w:tc>
          <w:tcPr>
            <w:tcW w:w="3566" w:type="pct"/>
            <w:noWrap w:val="0"/>
            <w:vAlign w:val="center"/>
          </w:tcPr>
          <w:p w14:paraId="1636614A">
            <w:pPr>
              <w:pStyle w:val="79"/>
              <w:keepNext w:val="0"/>
              <w:keepLines w:val="0"/>
              <w:pageBreakBefore w:val="0"/>
              <w:kinsoku/>
              <w:wordWrap/>
              <w:overflowPunct/>
              <w:topLinePunct w:val="0"/>
              <w:bidi w:val="0"/>
              <w:snapToGrid/>
              <w:spacing w:line="36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采购结果公告在</w:t>
            </w:r>
            <w:r>
              <w:rPr>
                <w:rFonts w:hint="eastAsia" w:ascii="宋体" w:hAnsi="宋体" w:eastAsia="宋体" w:cs="宋体"/>
                <w:color w:val="auto"/>
                <w:sz w:val="24"/>
                <w:highlight w:val="none"/>
                <w:lang w:val="en-US" w:eastAsia="zh-CN"/>
              </w:rPr>
              <w:t>广汉市中医医院官方网站</w:t>
            </w:r>
            <w:r>
              <w:rPr>
                <w:rFonts w:hint="eastAsia" w:ascii="宋体" w:hAnsi="宋体" w:eastAsia="宋体" w:cs="宋体"/>
                <w:color w:val="auto"/>
                <w:sz w:val="24"/>
                <w:highlight w:val="none"/>
              </w:rPr>
              <w:t>（http://</w:t>
            </w:r>
            <w:r>
              <w:rPr>
                <w:rFonts w:hint="eastAsia" w:ascii="宋体" w:hAnsi="宋体" w:eastAsia="宋体" w:cs="宋体"/>
                <w:color w:val="auto"/>
                <w:sz w:val="24"/>
                <w:highlight w:val="none"/>
                <w:lang w:val="en-US" w:eastAsia="zh-CN"/>
              </w:rPr>
              <w:t>www.</w:t>
            </w:r>
            <w:r>
              <w:rPr>
                <w:rFonts w:hint="eastAsia" w:ascii="宋体" w:hAnsi="宋体" w:eastAsia="宋体" w:cs="宋体"/>
                <w:color w:val="auto"/>
                <w:sz w:val="24"/>
                <w:highlight w:val="none"/>
              </w:rPr>
              <w:t>ghszyyy.com/）</w:t>
            </w:r>
            <w:r>
              <w:rPr>
                <w:rFonts w:hint="eastAsia" w:ascii="宋体" w:hAnsi="宋体" w:eastAsia="宋体" w:cs="宋体"/>
                <w:color w:val="auto"/>
                <w:sz w:val="24"/>
                <w:szCs w:val="24"/>
                <w:highlight w:val="none"/>
                <w:lang w:val="zh-CN"/>
              </w:rPr>
              <w:t>发布后，请成交供应商凭有效身份证明证件到</w:t>
            </w:r>
            <w:r>
              <w:rPr>
                <w:rFonts w:hint="eastAsia" w:cs="宋体"/>
                <w:color w:val="auto"/>
                <w:sz w:val="24"/>
                <w:szCs w:val="24"/>
                <w:highlight w:val="none"/>
                <w:lang w:val="en-US" w:eastAsia="zh-CN"/>
              </w:rPr>
              <w:t>广汉市中医医院招投标办公室</w:t>
            </w:r>
            <w:r>
              <w:rPr>
                <w:rFonts w:hint="eastAsia" w:ascii="宋体" w:hAnsi="宋体" w:eastAsia="宋体" w:cs="宋体"/>
                <w:color w:val="auto"/>
                <w:sz w:val="24"/>
                <w:szCs w:val="24"/>
                <w:highlight w:val="none"/>
                <w:lang w:val="zh-CN"/>
              </w:rPr>
              <w:t>领取成交通知书。</w:t>
            </w:r>
          </w:p>
          <w:p w14:paraId="77C33E9A">
            <w:pPr>
              <w:pStyle w:val="79"/>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240" w:firstLineChars="1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联系电话：</w:t>
            </w:r>
            <w:r>
              <w:rPr>
                <w:rFonts w:hint="eastAsia" w:cs="宋体"/>
                <w:color w:val="auto"/>
                <w:sz w:val="24"/>
                <w:szCs w:val="24"/>
                <w:highlight w:val="none"/>
                <w:lang w:val="en-US" w:eastAsia="zh-CN"/>
              </w:rPr>
              <w:t>0838-5222656</w:t>
            </w:r>
          </w:p>
          <w:p w14:paraId="292D873C">
            <w:pPr>
              <w:pStyle w:val="79"/>
              <w:keepNext w:val="0"/>
              <w:keepLines w:val="0"/>
              <w:pageBreakBefore w:val="0"/>
              <w:kinsoku/>
              <w:wordWrap/>
              <w:overflowPunct/>
              <w:topLinePunct w:val="0"/>
              <w:bidi w:val="0"/>
              <w:snapToGrid/>
              <w:spacing w:line="36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地址：</w:t>
            </w:r>
            <w:r>
              <w:rPr>
                <w:rFonts w:hint="eastAsia" w:ascii="宋体" w:hAnsi="宋体" w:cs="宋体"/>
                <w:bCs/>
                <w:color w:val="auto"/>
                <w:sz w:val="24"/>
                <w:highlight w:val="none"/>
              </w:rPr>
              <w:t>广汉市雒城</w:t>
            </w:r>
            <w:r>
              <w:rPr>
                <w:rFonts w:hint="eastAsia" w:ascii="宋体" w:hAnsi="宋体" w:cs="宋体"/>
                <w:bCs/>
                <w:color w:val="auto"/>
                <w:sz w:val="24"/>
                <w:highlight w:val="none"/>
                <w:lang w:val="en-US" w:eastAsia="zh-CN"/>
              </w:rPr>
              <w:t>街道</w:t>
            </w:r>
            <w:r>
              <w:rPr>
                <w:rFonts w:hint="eastAsia" w:ascii="宋体" w:hAnsi="宋体" w:cs="宋体"/>
                <w:bCs/>
                <w:color w:val="auto"/>
                <w:sz w:val="24"/>
                <w:highlight w:val="none"/>
              </w:rPr>
              <w:t>东西大街西二段147号</w:t>
            </w:r>
          </w:p>
        </w:tc>
      </w:tr>
      <w:tr w14:paraId="7C38D2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99" w:hRule="atLeast"/>
          <w:jc w:val="center"/>
        </w:trPr>
        <w:tc>
          <w:tcPr>
            <w:tcW w:w="365" w:type="pct"/>
            <w:tcBorders>
              <w:top w:val="single" w:color="auto" w:sz="8" w:space="0"/>
              <w:left w:val="single" w:color="auto" w:sz="18" w:space="0"/>
              <w:bottom w:val="single" w:color="auto" w:sz="8" w:space="0"/>
              <w:right w:val="single" w:color="auto" w:sz="8" w:space="0"/>
            </w:tcBorders>
            <w:noWrap w:val="0"/>
            <w:vAlign w:val="center"/>
          </w:tcPr>
          <w:p w14:paraId="1799EFA3">
            <w:pPr>
              <w:pStyle w:val="79"/>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13</w:t>
            </w:r>
          </w:p>
        </w:tc>
        <w:tc>
          <w:tcPr>
            <w:tcW w:w="1067" w:type="pct"/>
            <w:tcBorders>
              <w:top w:val="single" w:color="auto" w:sz="8" w:space="0"/>
              <w:left w:val="single" w:color="auto" w:sz="8" w:space="0"/>
              <w:bottom w:val="single" w:color="auto" w:sz="8" w:space="0"/>
              <w:right w:val="single" w:color="auto" w:sz="8" w:space="0"/>
            </w:tcBorders>
            <w:noWrap w:val="0"/>
            <w:vAlign w:val="center"/>
          </w:tcPr>
          <w:p w14:paraId="1CB7D408">
            <w:pPr>
              <w:keepNext w:val="0"/>
              <w:keepLines w:val="0"/>
              <w:pageBreakBefore w:val="0"/>
              <w:widowControl w:val="0"/>
              <w:kinsoku/>
              <w:wordWrap/>
              <w:overflowPunct/>
              <w:topLinePunct w:val="0"/>
              <w:bidi w:val="0"/>
              <w:snapToGrid/>
              <w:spacing w:line="360" w:lineRule="auto"/>
              <w:ind w:left="0" w:leftChars="0" w:right="0" w:rightChars="0" w:firstLine="120" w:firstLineChars="5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承诺提醒</w:t>
            </w:r>
          </w:p>
        </w:tc>
        <w:tc>
          <w:tcPr>
            <w:tcW w:w="3566" w:type="pct"/>
            <w:tcBorders>
              <w:top w:val="single" w:color="auto" w:sz="8" w:space="0"/>
              <w:left w:val="single" w:color="auto" w:sz="8" w:space="0"/>
              <w:bottom w:val="single" w:color="auto" w:sz="8" w:space="0"/>
              <w:right w:val="single" w:color="auto" w:sz="18" w:space="0"/>
            </w:tcBorders>
            <w:noWrap w:val="0"/>
            <w:vAlign w:val="center"/>
          </w:tcPr>
          <w:p w14:paraId="2A183B00">
            <w:pPr>
              <w:pStyle w:val="11"/>
              <w:keepNext w:val="0"/>
              <w:keepLines w:val="0"/>
              <w:pageBreakBefore w:val="0"/>
              <w:kinsoku/>
              <w:wordWrap/>
              <w:overflowPunct/>
              <w:topLinePunct w:val="0"/>
              <w:bidi w:val="0"/>
              <w:snapToGrid/>
              <w:spacing w:after="0" w:line="360" w:lineRule="auto"/>
              <w:ind w:left="0" w:leftChars="0" w:right="0" w:rightChars="0" w:firstLine="240" w:firstLineChars="1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关于供应商针对本项目提出的相关资格或实质性要求承诺（包括但不限于依法缴纳税收和社会保障资金），项目采购活动结束后，采购人如有必要将核实供应商所作承诺真实性，如提供虚假承诺将报告监管部门严肃追究法律责任。</w:t>
            </w:r>
          </w:p>
        </w:tc>
      </w:tr>
    </w:tbl>
    <w:p w14:paraId="60FAF4B3">
      <w:pPr>
        <w:pageBreakBefore w:val="0"/>
        <w:widowControl/>
        <w:kinsoku/>
        <w:wordWrap/>
        <w:overflowPunct/>
        <w:topLinePunct w:val="0"/>
        <w:autoSpaceDE/>
        <w:autoSpaceDN/>
        <w:bidi w:val="0"/>
        <w:adjustRightInd/>
        <w:snapToGrid/>
        <w:spacing w:line="360" w:lineRule="auto"/>
        <w:ind w:right="0" w:rightChars="0" w:firstLine="420" w:firstLineChars="200"/>
        <w:jc w:val="both"/>
        <w:textAlignment w:val="auto"/>
        <w:outlineLvl w:val="2"/>
        <w:rPr>
          <w:rFonts w:hint="eastAsia" w:ascii="宋体" w:hAnsi="宋体" w:eastAsia="宋体" w:cs="宋体"/>
          <w:color w:val="auto"/>
          <w:highlight w:val="none"/>
        </w:rPr>
      </w:pPr>
      <w:bookmarkStart w:id="11" w:name="_Toc508279776"/>
      <w:r>
        <w:rPr>
          <w:rFonts w:hint="eastAsia" w:ascii="宋体" w:hAnsi="宋体" w:eastAsia="宋体" w:cs="宋体"/>
          <w:bCs w:val="0"/>
          <w:color w:val="auto"/>
          <w:highlight w:val="none"/>
        </w:rPr>
        <w:br w:type="page"/>
      </w:r>
      <w:bookmarkEnd w:id="11"/>
      <w:bookmarkStart w:id="12" w:name="_Toc508279816"/>
      <w:bookmarkStart w:id="13" w:name="_Toc183582231"/>
      <w:bookmarkStart w:id="14" w:name="_Toc217446056"/>
      <w:bookmarkStart w:id="15" w:name="_Toc183682368"/>
      <w:bookmarkStart w:id="16" w:name="_Toc77400782"/>
      <w:bookmarkStart w:id="17" w:name="_Toc89075878"/>
    </w:p>
    <w:p w14:paraId="4F1EB06F">
      <w:pPr>
        <w:pStyle w:val="30"/>
        <w:keepNext w:val="0"/>
        <w:keepLines w:val="0"/>
        <w:pageBreakBefore w:val="0"/>
        <w:widowControl w:val="0"/>
        <w:kinsoku/>
        <w:wordWrap/>
        <w:overflowPunct/>
        <w:topLinePunct w:val="0"/>
        <w:autoSpaceDE/>
        <w:autoSpaceDN/>
        <w:bidi w:val="0"/>
        <w:adjustRightInd/>
        <w:snapToGrid/>
        <w:spacing w:before="6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第三章  供应商资格条件要求</w:t>
      </w:r>
      <w:bookmarkEnd w:id="12"/>
    </w:p>
    <w:p w14:paraId="5125C8D5">
      <w:pPr>
        <w:keepNext w:val="0"/>
        <w:keepLines w:val="0"/>
        <w:pageBreakBefore w:val="0"/>
        <w:widowControl w:val="0"/>
        <w:tabs>
          <w:tab w:val="left" w:pos="766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满足</w:t>
      </w:r>
      <w:r>
        <w:rPr>
          <w:rFonts w:hint="eastAsia" w:ascii="宋体" w:hAnsi="宋体" w:eastAsia="宋体" w:cs="宋体"/>
          <w:b/>
          <w:bCs/>
          <w:color w:val="auto"/>
          <w:sz w:val="24"/>
          <w:szCs w:val="24"/>
          <w:highlight w:val="none"/>
        </w:rPr>
        <w:t>《中华人民共和国政府采购法》第二十二条规定的条件：</w:t>
      </w:r>
    </w:p>
    <w:p w14:paraId="391A9B2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执业许可证</w:t>
      </w:r>
      <w:r>
        <w:rPr>
          <w:rFonts w:hint="eastAsia" w:ascii="宋体" w:hAnsi="宋体" w:eastAsia="宋体" w:cs="宋体"/>
          <w:bCs/>
          <w:color w:val="auto"/>
          <w:sz w:val="24"/>
          <w:highlight w:val="none"/>
        </w:rPr>
        <w:t>（有效）</w:t>
      </w:r>
    </w:p>
    <w:p w14:paraId="6DE6D72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负责人身份证明及身份证</w:t>
      </w:r>
    </w:p>
    <w:p w14:paraId="5D42336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3、授权参加本次采购活动的比选申请人代表证明材料</w:t>
      </w:r>
    </w:p>
    <w:p w14:paraId="17164DA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事务所</w:t>
      </w:r>
      <w:r>
        <w:rPr>
          <w:rFonts w:hint="eastAsia" w:ascii="宋体" w:hAnsi="宋体" w:eastAsia="宋体" w:cs="宋体"/>
          <w:bCs/>
          <w:color w:val="auto"/>
          <w:sz w:val="24"/>
          <w:highlight w:val="none"/>
        </w:rPr>
        <w:t>简介</w:t>
      </w:r>
      <w:r>
        <w:rPr>
          <w:rFonts w:hint="eastAsia" w:ascii="宋体" w:hAnsi="宋体" w:eastAsia="宋体" w:cs="宋体"/>
          <w:bCs/>
          <w:color w:val="auto"/>
          <w:sz w:val="24"/>
          <w:highlight w:val="none"/>
          <w:lang w:val="en-US" w:eastAsia="zh-CN"/>
        </w:rPr>
        <w:t>及荣誉证书</w:t>
      </w:r>
    </w:p>
    <w:p w14:paraId="291AC79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yellow"/>
          <w:lang w:val="en-US" w:eastAsia="zh-CN"/>
        </w:rPr>
      </w:pPr>
      <w:r>
        <w:rPr>
          <w:rFonts w:hint="eastAsia" w:ascii="宋体" w:hAnsi="宋体" w:cs="宋体"/>
          <w:bCs/>
          <w:color w:val="auto"/>
          <w:sz w:val="24"/>
          <w:highlight w:val="yellow"/>
          <w:lang w:val="en-US" w:eastAsia="zh-CN"/>
        </w:rPr>
        <w:t>5</w:t>
      </w:r>
      <w:r>
        <w:rPr>
          <w:rFonts w:hint="eastAsia" w:ascii="宋体" w:hAnsi="宋体" w:eastAsia="宋体" w:cs="宋体"/>
          <w:bCs/>
          <w:color w:val="auto"/>
          <w:sz w:val="24"/>
          <w:highlight w:val="yellow"/>
          <w:lang w:val="en-US" w:eastAsia="zh-CN"/>
        </w:rPr>
        <w:t>、参加本次采购活动前三年内，在经营活动中没有重大违法记录</w:t>
      </w:r>
      <w:r>
        <w:rPr>
          <w:rFonts w:hint="eastAsia" w:ascii="宋体" w:hAnsi="宋体" w:cs="宋体"/>
          <w:bCs/>
          <w:color w:val="auto"/>
          <w:sz w:val="24"/>
          <w:highlight w:val="yellow"/>
          <w:lang w:val="en-US" w:eastAsia="zh-CN"/>
        </w:rPr>
        <w:t>（提供承诺函）</w:t>
      </w:r>
    </w:p>
    <w:p w14:paraId="52AD4B2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、近3年企业财务报表（资产负债表，利润表，现金流量表</w:t>
      </w:r>
      <w:r>
        <w:rPr>
          <w:rFonts w:hint="eastAsia" w:ascii="宋体" w:hAnsi="宋体" w:cs="宋体"/>
          <w:bCs/>
          <w:color w:val="auto"/>
          <w:sz w:val="24"/>
          <w:highlight w:val="none"/>
          <w:lang w:eastAsia="zh-CN"/>
        </w:rPr>
        <w:t>）</w:t>
      </w:r>
    </w:p>
    <w:p w14:paraId="1C9FA33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事务所</w:t>
      </w:r>
      <w:r>
        <w:rPr>
          <w:rFonts w:hint="eastAsia" w:ascii="宋体" w:hAnsi="宋体" w:eastAsia="宋体" w:cs="宋体"/>
          <w:bCs/>
          <w:color w:val="auto"/>
          <w:sz w:val="24"/>
          <w:highlight w:val="none"/>
        </w:rPr>
        <w:t>信誉证明：</w:t>
      </w:r>
      <w:r>
        <w:rPr>
          <w:rFonts w:hint="eastAsia" w:ascii="宋体" w:hAnsi="宋体" w:eastAsia="宋体" w:cs="宋体"/>
          <w:bCs/>
          <w:color w:val="auto"/>
          <w:sz w:val="24"/>
          <w:highlight w:val="none"/>
          <w:lang w:val="en-US" w:eastAsia="zh-CN"/>
        </w:rPr>
        <w:t>事务所</w:t>
      </w:r>
      <w:r>
        <w:rPr>
          <w:rFonts w:hint="eastAsia" w:ascii="宋体" w:hAnsi="宋体" w:eastAsia="宋体" w:cs="宋体"/>
          <w:bCs/>
          <w:color w:val="auto"/>
          <w:sz w:val="24"/>
          <w:highlight w:val="none"/>
        </w:rPr>
        <w:t>未被最高人民法院在“</w:t>
      </w:r>
      <w:r>
        <w:rPr>
          <w:rFonts w:hint="eastAsia" w:ascii="宋体" w:hAnsi="宋体" w:eastAsia="宋体" w:cs="宋体"/>
          <w:bCs/>
          <w:color w:val="auto"/>
          <w:sz w:val="24"/>
          <w:highlight w:val="none"/>
          <w:lang w:val="en-US" w:eastAsia="zh-CN"/>
        </w:rPr>
        <w:t>中国执行信息公开网</w:t>
      </w:r>
      <w:r>
        <w:rPr>
          <w:rFonts w:hint="eastAsia" w:ascii="宋体" w:hAnsi="宋体" w:eastAsia="宋体" w:cs="宋体"/>
          <w:bCs/>
          <w:color w:val="auto"/>
          <w:sz w:val="24"/>
          <w:highlight w:val="none"/>
        </w:rPr>
        <w:t>”网站（http://zxgk.court.gov.cn/）列入失信被执行人名单（附</w:t>
      </w:r>
      <w:r>
        <w:rPr>
          <w:rFonts w:hint="eastAsia" w:ascii="宋体" w:hAnsi="宋体" w:eastAsia="宋体" w:cs="宋体"/>
          <w:bCs/>
          <w:color w:val="auto"/>
          <w:sz w:val="24"/>
          <w:highlight w:val="none"/>
          <w:lang w:val="en-US" w:eastAsia="zh-CN"/>
        </w:rPr>
        <w:t>该</w:t>
      </w:r>
      <w:r>
        <w:rPr>
          <w:rFonts w:hint="eastAsia" w:ascii="宋体" w:hAnsi="宋体" w:eastAsia="宋体" w:cs="宋体"/>
          <w:bCs/>
          <w:color w:val="auto"/>
          <w:sz w:val="24"/>
          <w:highlight w:val="none"/>
        </w:rPr>
        <w:t>网站的信息查打印资料）</w:t>
      </w:r>
    </w:p>
    <w:p w14:paraId="2D48EB7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rPr>
        <w:t>、团队律师简介及执业证复印件</w:t>
      </w:r>
    </w:p>
    <w:p w14:paraId="759E17C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近3年的业绩证明：提供</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家</w:t>
      </w:r>
      <w:r>
        <w:rPr>
          <w:rFonts w:hint="eastAsia" w:ascii="宋体" w:hAnsi="宋体" w:eastAsia="宋体" w:cs="宋体"/>
          <w:bCs/>
          <w:color w:val="auto"/>
          <w:sz w:val="24"/>
          <w:highlight w:val="none"/>
          <w:lang w:val="en-US" w:eastAsia="zh-CN"/>
        </w:rPr>
        <w:t>/件</w:t>
      </w:r>
      <w:r>
        <w:rPr>
          <w:rFonts w:hint="eastAsia" w:ascii="宋体" w:hAnsi="宋体" w:eastAsia="宋体" w:cs="宋体"/>
          <w:bCs/>
          <w:color w:val="auto"/>
          <w:sz w:val="24"/>
          <w:highlight w:val="none"/>
        </w:rPr>
        <w:t>以上的（</w:t>
      </w:r>
      <w:r>
        <w:rPr>
          <w:rFonts w:hint="eastAsia" w:ascii="宋体" w:hAnsi="宋体" w:eastAsia="宋体" w:cs="宋体"/>
          <w:bCs/>
          <w:color w:val="auto"/>
          <w:sz w:val="24"/>
          <w:highlight w:val="none"/>
          <w:lang w:val="en-US" w:eastAsia="zh-CN"/>
        </w:rPr>
        <w:t>顾问合同/医疗纠纷案件代理合同</w:t>
      </w:r>
      <w:r>
        <w:rPr>
          <w:rFonts w:hint="eastAsia" w:ascii="宋体" w:hAnsi="宋体" w:eastAsia="宋体" w:cs="宋体"/>
          <w:bCs/>
          <w:color w:val="auto"/>
          <w:sz w:val="24"/>
          <w:highlight w:val="none"/>
        </w:rPr>
        <w:t>）合同复印件。</w:t>
      </w:r>
    </w:p>
    <w:p w14:paraId="2EF5878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、供应商准入申请表</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附录1</w:t>
      </w:r>
      <w:r>
        <w:rPr>
          <w:rFonts w:hint="eastAsia" w:ascii="宋体" w:hAnsi="宋体" w:eastAsia="宋体" w:cs="宋体"/>
          <w:bCs/>
          <w:color w:val="auto"/>
          <w:sz w:val="24"/>
          <w:highlight w:val="none"/>
          <w:lang w:eastAsia="zh-CN"/>
        </w:rPr>
        <w:t>）</w:t>
      </w:r>
    </w:p>
    <w:p w14:paraId="0B6875F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11</w:t>
      </w:r>
      <w:r>
        <w:rPr>
          <w:rFonts w:hint="eastAsia" w:ascii="宋体" w:hAnsi="宋体" w:eastAsia="宋体" w:cs="宋体"/>
          <w:bCs/>
          <w:color w:val="auto"/>
          <w:sz w:val="24"/>
          <w:highlight w:val="none"/>
        </w:rPr>
        <w:t>、供应商准入承诺书</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附录2</w:t>
      </w:r>
      <w:r>
        <w:rPr>
          <w:rFonts w:hint="eastAsia" w:ascii="宋体" w:hAnsi="宋体" w:eastAsia="宋体" w:cs="宋体"/>
          <w:bCs/>
          <w:color w:val="auto"/>
          <w:sz w:val="24"/>
          <w:highlight w:val="none"/>
          <w:lang w:eastAsia="zh-CN"/>
        </w:rPr>
        <w:t>）</w:t>
      </w:r>
    </w:p>
    <w:p w14:paraId="6F11F772">
      <w:pPr>
        <w:pStyle w:val="6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、法律、行政法规规定的其他条件。</w:t>
      </w:r>
      <w:bookmarkStart w:id="18" w:name="_Toc508279817"/>
    </w:p>
    <w:p w14:paraId="7C45C6D6">
      <w:pPr>
        <w:pStyle w:val="6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注：1、本章资格要求第5款中“参加本次采购活动前三年内，在经营活动中没有重大违法记录”中的重大违法记录是指：供应商因违法经营受到刑事处罚或者责令停产停业、吊销许可证或者执照、较大数额罚款等行政处罚，其中较大数额罚款的具体金额标准</w:t>
      </w:r>
      <w:r>
        <w:rPr>
          <w:rFonts w:hint="eastAsia" w:ascii="宋体" w:hAnsi="宋体" w:eastAsia="宋体" w:cs="宋体"/>
          <w:b/>
          <w:bCs/>
          <w:color w:val="auto"/>
          <w:sz w:val="24"/>
          <w:szCs w:val="24"/>
          <w:highlight w:val="none"/>
          <w:lang w:eastAsia="zh-CN"/>
        </w:rPr>
        <w:t>以财库</w:t>
      </w:r>
      <w:r>
        <w:rPr>
          <w:rFonts w:hint="eastAsia" w:ascii="宋体" w:hAnsi="宋体" w:eastAsia="宋体" w:cs="宋体"/>
          <w:b/>
          <w:bCs/>
          <w:color w:val="auto"/>
          <w:kern w:val="0"/>
          <w:sz w:val="24"/>
          <w:szCs w:val="24"/>
          <w:highlight w:val="none"/>
          <w:lang w:val="en-US" w:eastAsia="zh-CN"/>
        </w:rPr>
        <w:t>〔2022〕3号文为准，即</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认定为200万元以上的罚款，法律、行政法规以及国务院有关部门明确规定相关领域“较大数额罚款”标准高于200万元的，从其规定。</w:t>
      </w:r>
    </w:p>
    <w:p w14:paraId="7F2BFE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本章要求</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提供的资格证明材料必须加盖</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印章（鲜章）。</w:t>
      </w:r>
    </w:p>
    <w:bookmarkEnd w:id="18"/>
    <w:p w14:paraId="509E7DAA">
      <w:pPr>
        <w:pStyle w:val="30"/>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outlineLvl w:val="9"/>
        <w:rPr>
          <w:rFonts w:hint="eastAsia" w:ascii="宋体" w:hAnsi="宋体" w:eastAsia="宋体" w:cs="宋体"/>
          <w:b w:val="0"/>
          <w:color w:val="auto"/>
          <w:sz w:val="24"/>
          <w:highlight w:val="none"/>
          <w:lang w:eastAsia="zh-CN"/>
        </w:rPr>
      </w:pPr>
      <w:bookmarkStart w:id="19" w:name="_Toc508279818"/>
      <w:r>
        <w:rPr>
          <w:rFonts w:hint="eastAsia" w:ascii="宋体" w:hAnsi="宋体" w:eastAsia="宋体" w:cs="宋体"/>
          <w:b w:val="0"/>
          <w:color w:val="auto"/>
          <w:sz w:val="24"/>
          <w:highlight w:val="none"/>
        </w:rPr>
        <w:br w:type="page"/>
      </w:r>
      <w:r>
        <w:rPr>
          <w:rFonts w:hint="eastAsia" w:ascii="宋体" w:hAnsi="宋体" w:eastAsia="宋体" w:cs="宋体"/>
          <w:b/>
          <w:bCs/>
          <w:color w:val="auto"/>
          <w:highlight w:val="none"/>
        </w:rPr>
        <w:t>第</w:t>
      </w:r>
      <w:r>
        <w:rPr>
          <w:rFonts w:hint="eastAsia" w:ascii="宋体" w:hAnsi="宋体" w:cs="宋体"/>
          <w:b/>
          <w:bCs/>
          <w:color w:val="auto"/>
          <w:highlight w:val="none"/>
          <w:lang w:val="en-US" w:eastAsia="zh-CN"/>
        </w:rPr>
        <w:t>四</w:t>
      </w:r>
      <w:r>
        <w:rPr>
          <w:rFonts w:hint="eastAsia" w:ascii="宋体" w:hAnsi="宋体" w:eastAsia="宋体" w:cs="宋体"/>
          <w:b/>
          <w:bCs/>
          <w:color w:val="auto"/>
          <w:highlight w:val="none"/>
        </w:rPr>
        <w:t xml:space="preserve">章  </w:t>
      </w:r>
      <w:bookmarkEnd w:id="19"/>
      <w:r>
        <w:rPr>
          <w:rFonts w:hint="eastAsia" w:ascii="宋体" w:hAnsi="宋体" w:eastAsia="宋体" w:cs="宋体"/>
          <w:b/>
          <w:bCs/>
          <w:color w:val="auto"/>
          <w:highlight w:val="none"/>
          <w:lang w:eastAsia="zh-CN"/>
        </w:rPr>
        <w:t>采购项目服务、商务及其他要求</w:t>
      </w:r>
    </w:p>
    <w:p w14:paraId="777B8237">
      <w:pPr>
        <w:pStyle w:val="3"/>
        <w:keepNext/>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8"/>
          <w:szCs w:val="28"/>
          <w:highlight w:val="none"/>
          <w:lang w:val="en-US" w:eastAsia="zh-CN"/>
        </w:rPr>
      </w:pPr>
      <w:bookmarkStart w:id="20" w:name="_Toc217446094"/>
      <w:r>
        <w:rPr>
          <w:rFonts w:hint="eastAsia" w:ascii="宋体" w:hAnsi="宋体" w:eastAsia="宋体" w:cs="宋体"/>
          <w:b/>
          <w:bCs/>
          <w:color w:val="auto"/>
          <w:sz w:val="28"/>
          <w:szCs w:val="28"/>
          <w:highlight w:val="none"/>
          <w:lang w:val="en-US" w:eastAsia="zh-CN"/>
        </w:rPr>
        <w:t>一、项目概述</w:t>
      </w:r>
      <w:bookmarkEnd w:id="20"/>
    </w:p>
    <w:p w14:paraId="61D9FE0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bookmarkStart w:id="21" w:name="_Toc217446095"/>
      <w:r>
        <w:rPr>
          <w:rFonts w:hint="eastAsia" w:ascii="宋体" w:hAnsi="宋体" w:cs="宋体"/>
          <w:color w:val="auto"/>
          <w:sz w:val="24"/>
          <w:szCs w:val="24"/>
          <w:highlight w:val="none"/>
          <w:lang w:val="en-US" w:eastAsia="zh-CN"/>
        </w:rPr>
        <w:t>广汉市中医医院根据公立医院管理特点，在医疗业务活动中出现的各类纠纷、争执及责任划分等情况，依据相关法律法规之规定，聘请法律顾问。</w:t>
      </w:r>
    </w:p>
    <w:bookmarkEnd w:id="21"/>
    <w:p w14:paraId="03005878">
      <w:pPr>
        <w:pStyle w:val="3"/>
        <w:keepNext/>
        <w:keepLines w:val="0"/>
        <w:pageBreakBefore w:val="0"/>
        <w:widowControl w:val="0"/>
        <w:kinsoku/>
        <w:wordWrap/>
        <w:overflowPunct/>
        <w:topLinePunct w:val="0"/>
        <w:autoSpaceDE/>
        <w:autoSpaceDN/>
        <w:bidi w:val="0"/>
        <w:adjustRightInd/>
        <w:snapToGrid/>
        <w:spacing w:before="0" w:after="0" w:line="360" w:lineRule="auto"/>
        <w:textAlignment w:val="auto"/>
      </w:pPr>
      <w:r>
        <w:rPr>
          <w:rFonts w:hint="eastAsia" w:asciiTheme="minorEastAsia" w:hAnsiTheme="minorEastAsia" w:eastAsiaTheme="minorEastAsia" w:cstheme="minorEastAsia"/>
          <w:sz w:val="24"/>
          <w:szCs w:val="24"/>
          <w:lang w:val="en-US" w:eastAsia="zh-CN"/>
        </w:rPr>
        <w:t>★</w:t>
      </w:r>
      <w:r>
        <w:rPr>
          <w:rFonts w:hint="eastAsia" w:ascii="宋体" w:hAnsi="宋体" w:eastAsia="宋体" w:cs="宋体"/>
          <w:b/>
          <w:bCs/>
          <w:color w:val="auto"/>
          <w:sz w:val="28"/>
          <w:szCs w:val="28"/>
          <w:highlight w:val="none"/>
          <w:lang w:val="en-US" w:eastAsia="zh-CN"/>
        </w:rPr>
        <w:t>二、服务内容及要求</w:t>
      </w:r>
    </w:p>
    <w:p w14:paraId="4830D9CF">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0" w:right="0" w:firstLine="420" w:firstLineChars="200"/>
        <w:rPr>
          <w:rFonts w:hint="default" w:ascii="宋体" w:hAnsi="宋体" w:eastAsia="宋体" w:cs="宋体"/>
          <w:color w:val="auto"/>
          <w:kern w:val="2"/>
          <w:sz w:val="24"/>
          <w:szCs w:val="24"/>
          <w:highlight w:val="none"/>
          <w:lang w:val="en-US" w:eastAsia="zh-CN" w:bidi="ar-SA"/>
        </w:rPr>
      </w:pPr>
      <w:r>
        <w:rPr>
          <w:rFonts w:hint="eastAsia" w:ascii="Arial" w:hAnsi="Arial" w:eastAsia="宋体" w:cs="Arial"/>
          <w:i w:val="0"/>
          <w:iCs w:val="0"/>
          <w:caps w:val="0"/>
          <w:color w:val="333333"/>
          <w:spacing w:val="0"/>
          <w:sz w:val="21"/>
          <w:szCs w:val="21"/>
          <w:shd w:val="clear" w:fill="FFFFFF"/>
          <w:lang w:val="en-US" w:eastAsia="zh-CN"/>
        </w:rPr>
        <w:t>2.1</w:t>
      </w:r>
      <w:r>
        <w:rPr>
          <w:rFonts w:hint="default" w:ascii="宋体" w:hAnsi="宋体" w:eastAsia="宋体" w:cs="宋体"/>
          <w:color w:val="auto"/>
          <w:kern w:val="2"/>
          <w:sz w:val="24"/>
          <w:szCs w:val="24"/>
          <w:highlight w:val="none"/>
          <w:lang w:val="en-US" w:eastAsia="zh-CN" w:bidi="ar-SA"/>
        </w:rPr>
        <w:t>‌法律风险防范‌：法律顾问可以帮助</w:t>
      </w:r>
      <w:r>
        <w:rPr>
          <w:rFonts w:hint="eastAsia" w:ascii="宋体" w:hAnsi="宋体" w:eastAsia="宋体" w:cs="宋体"/>
          <w:color w:val="auto"/>
          <w:kern w:val="2"/>
          <w:sz w:val="24"/>
          <w:szCs w:val="24"/>
          <w:highlight w:val="none"/>
          <w:lang w:val="en-US" w:eastAsia="zh-CN" w:bidi="ar-SA"/>
        </w:rPr>
        <w:t>医院</w:t>
      </w:r>
      <w:r>
        <w:rPr>
          <w:rFonts w:hint="default" w:ascii="宋体" w:hAnsi="宋体" w:eastAsia="宋体" w:cs="宋体"/>
          <w:color w:val="auto"/>
          <w:kern w:val="2"/>
          <w:sz w:val="24"/>
          <w:szCs w:val="24"/>
          <w:highlight w:val="none"/>
          <w:lang w:val="en-US" w:eastAsia="zh-CN" w:bidi="ar-SA"/>
        </w:rPr>
        <w:t>识别和管理潜在的法律风险，确保</w:t>
      </w:r>
      <w:r>
        <w:rPr>
          <w:rFonts w:hint="eastAsia" w:cs="宋体"/>
          <w:color w:val="auto"/>
          <w:kern w:val="2"/>
          <w:sz w:val="24"/>
          <w:szCs w:val="24"/>
          <w:highlight w:val="none"/>
          <w:lang w:val="en-US" w:eastAsia="zh-CN" w:bidi="ar-SA"/>
        </w:rPr>
        <w:t>医院</w:t>
      </w:r>
      <w:r>
        <w:rPr>
          <w:rFonts w:hint="default" w:ascii="宋体" w:hAnsi="宋体" w:eastAsia="宋体" w:cs="宋体"/>
          <w:color w:val="auto"/>
          <w:kern w:val="2"/>
          <w:sz w:val="24"/>
          <w:szCs w:val="24"/>
          <w:highlight w:val="none"/>
          <w:lang w:val="en-US" w:eastAsia="zh-CN" w:bidi="ar-SA"/>
        </w:rPr>
        <w:t>运营符合法律法规要求，避免因法律问题导致的经济损失和声誉损害。</w:t>
      </w:r>
    </w:p>
    <w:p w14:paraId="15B31B53">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0" w:right="0" w:firstLine="480" w:firstLineChars="200"/>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2.2</w:t>
      </w:r>
      <w:r>
        <w:rPr>
          <w:rFonts w:hint="default" w:ascii="宋体" w:hAnsi="宋体" w:eastAsia="宋体" w:cs="宋体"/>
          <w:color w:val="auto"/>
          <w:kern w:val="2"/>
          <w:sz w:val="24"/>
          <w:szCs w:val="24"/>
          <w:highlight w:val="none"/>
          <w:lang w:val="en-US" w:eastAsia="zh-CN" w:bidi="ar-SA"/>
        </w:rPr>
        <w:t>‌</w:t>
      </w:r>
      <w:r>
        <w:rPr>
          <w:rFonts w:hint="eastAsia" w:cs="宋体"/>
          <w:color w:val="auto"/>
          <w:kern w:val="2"/>
          <w:sz w:val="24"/>
          <w:szCs w:val="24"/>
          <w:highlight w:val="none"/>
          <w:lang w:val="en-US" w:eastAsia="zh-CN" w:bidi="ar-SA"/>
        </w:rPr>
        <w:t>医疗业务</w:t>
      </w:r>
      <w:r>
        <w:rPr>
          <w:rFonts w:hint="default" w:ascii="宋体" w:hAnsi="宋体" w:eastAsia="宋体" w:cs="宋体"/>
          <w:color w:val="auto"/>
          <w:kern w:val="2"/>
          <w:sz w:val="24"/>
          <w:szCs w:val="24"/>
          <w:highlight w:val="none"/>
          <w:lang w:val="en-US" w:eastAsia="zh-CN" w:bidi="ar-SA"/>
        </w:rPr>
        <w:t>顺利完成‌：法律顾问在</w:t>
      </w:r>
      <w:r>
        <w:rPr>
          <w:rFonts w:hint="eastAsia" w:cs="宋体"/>
          <w:color w:val="auto"/>
          <w:kern w:val="2"/>
          <w:sz w:val="24"/>
          <w:szCs w:val="24"/>
          <w:highlight w:val="none"/>
          <w:lang w:val="en-US" w:eastAsia="zh-CN" w:bidi="ar-SA"/>
        </w:rPr>
        <w:t>医疗业务</w:t>
      </w:r>
      <w:r>
        <w:rPr>
          <w:rFonts w:hint="default" w:ascii="宋体" w:hAnsi="宋体" w:eastAsia="宋体" w:cs="宋体"/>
          <w:color w:val="auto"/>
          <w:kern w:val="2"/>
          <w:sz w:val="24"/>
          <w:szCs w:val="24"/>
          <w:highlight w:val="none"/>
          <w:lang w:val="en-US" w:eastAsia="zh-CN" w:bidi="ar-SA"/>
        </w:rPr>
        <w:t>中可以提供专业的法律支持，明确双方的权利义务，保障交易的安全，节约时间，促进</w:t>
      </w:r>
      <w:r>
        <w:rPr>
          <w:rFonts w:hint="eastAsia" w:cs="宋体"/>
          <w:color w:val="auto"/>
          <w:kern w:val="2"/>
          <w:sz w:val="24"/>
          <w:szCs w:val="24"/>
          <w:highlight w:val="none"/>
          <w:lang w:val="en-US" w:eastAsia="zh-CN" w:bidi="ar-SA"/>
        </w:rPr>
        <w:t>医疗业务</w:t>
      </w:r>
      <w:r>
        <w:rPr>
          <w:rFonts w:hint="default" w:ascii="宋体" w:hAnsi="宋体" w:eastAsia="宋体" w:cs="宋体"/>
          <w:color w:val="auto"/>
          <w:kern w:val="2"/>
          <w:sz w:val="24"/>
          <w:szCs w:val="24"/>
          <w:highlight w:val="none"/>
          <w:lang w:val="en-US" w:eastAsia="zh-CN" w:bidi="ar-SA"/>
        </w:rPr>
        <w:t>的顺利完成。</w:t>
      </w:r>
    </w:p>
    <w:p w14:paraId="766A8FD6">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0" w:right="0" w:firstLine="480" w:firstLineChars="200"/>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2.3</w:t>
      </w:r>
      <w:r>
        <w:rPr>
          <w:rFonts w:hint="default" w:ascii="宋体" w:hAnsi="宋体" w:eastAsia="宋体" w:cs="宋体"/>
          <w:color w:val="auto"/>
          <w:kern w:val="2"/>
          <w:sz w:val="24"/>
          <w:szCs w:val="24"/>
          <w:highlight w:val="none"/>
          <w:lang w:val="en-US" w:eastAsia="zh-CN" w:bidi="ar-SA"/>
        </w:rPr>
        <w:t>‌减少</w:t>
      </w:r>
      <w:r>
        <w:rPr>
          <w:rFonts w:hint="eastAsia" w:cs="宋体"/>
          <w:color w:val="auto"/>
          <w:kern w:val="2"/>
          <w:sz w:val="24"/>
          <w:szCs w:val="24"/>
          <w:highlight w:val="none"/>
          <w:lang w:val="en-US" w:eastAsia="zh-CN" w:bidi="ar-SA"/>
        </w:rPr>
        <w:t>运行</w:t>
      </w:r>
      <w:r>
        <w:rPr>
          <w:rFonts w:hint="default" w:ascii="宋体" w:hAnsi="宋体" w:eastAsia="宋体" w:cs="宋体"/>
          <w:color w:val="auto"/>
          <w:kern w:val="2"/>
          <w:sz w:val="24"/>
          <w:szCs w:val="24"/>
          <w:highlight w:val="none"/>
          <w:lang w:val="en-US" w:eastAsia="zh-CN" w:bidi="ar-SA"/>
        </w:rPr>
        <w:t>成本‌：聘请法律顾问比内部设立法务岗位更具性价比，可以避免因法律问题导致的诉讼成本，长期来看更划算。</w:t>
      </w:r>
    </w:p>
    <w:p w14:paraId="5C455CB0">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0" w:right="0" w:firstLine="480" w:firstLineChars="200"/>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2.4</w:t>
      </w:r>
      <w:r>
        <w:rPr>
          <w:rFonts w:hint="default" w:ascii="宋体" w:hAnsi="宋体" w:eastAsia="宋体" w:cs="宋体"/>
          <w:color w:val="auto"/>
          <w:kern w:val="2"/>
          <w:sz w:val="24"/>
          <w:szCs w:val="24"/>
          <w:highlight w:val="none"/>
          <w:lang w:val="en-US" w:eastAsia="zh-CN" w:bidi="ar-SA"/>
        </w:rPr>
        <w:t>‌合同管理和审查‌：法律顾问协助起草、审查合同，确保合同清晰、可执行并保护</w:t>
      </w:r>
      <w:r>
        <w:rPr>
          <w:rFonts w:hint="eastAsia" w:cs="宋体"/>
          <w:color w:val="auto"/>
          <w:kern w:val="2"/>
          <w:sz w:val="24"/>
          <w:szCs w:val="24"/>
          <w:highlight w:val="none"/>
          <w:lang w:val="en-US" w:eastAsia="zh-CN" w:bidi="ar-SA"/>
        </w:rPr>
        <w:t>医院</w:t>
      </w:r>
      <w:r>
        <w:rPr>
          <w:rFonts w:hint="default" w:ascii="宋体" w:hAnsi="宋体" w:eastAsia="宋体" w:cs="宋体"/>
          <w:color w:val="auto"/>
          <w:kern w:val="2"/>
          <w:sz w:val="24"/>
          <w:szCs w:val="24"/>
          <w:highlight w:val="none"/>
          <w:lang w:val="en-US" w:eastAsia="zh-CN" w:bidi="ar-SA"/>
        </w:rPr>
        <w:t>利益，降低纠纷风险。</w:t>
      </w:r>
    </w:p>
    <w:p w14:paraId="755EECED">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0" w:right="0" w:firstLine="480" w:firstLineChars="200"/>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2.5</w:t>
      </w:r>
      <w:r>
        <w:rPr>
          <w:rFonts w:hint="default" w:ascii="宋体" w:hAnsi="宋体" w:eastAsia="宋体" w:cs="宋体"/>
          <w:color w:val="auto"/>
          <w:kern w:val="2"/>
          <w:sz w:val="24"/>
          <w:szCs w:val="24"/>
          <w:highlight w:val="none"/>
          <w:lang w:val="en-US" w:eastAsia="zh-CN" w:bidi="ar-SA"/>
        </w:rPr>
        <w:t>‌知识产权保护‌：法律顾问帮助</w:t>
      </w:r>
      <w:r>
        <w:rPr>
          <w:rFonts w:hint="eastAsia" w:cs="宋体"/>
          <w:color w:val="auto"/>
          <w:kern w:val="2"/>
          <w:sz w:val="24"/>
          <w:szCs w:val="24"/>
          <w:highlight w:val="none"/>
          <w:lang w:val="en-US" w:eastAsia="zh-CN" w:bidi="ar-SA"/>
        </w:rPr>
        <w:t>医院</w:t>
      </w:r>
      <w:r>
        <w:rPr>
          <w:rFonts w:hint="default" w:ascii="宋体" w:hAnsi="宋体" w:eastAsia="宋体" w:cs="宋体"/>
          <w:color w:val="auto"/>
          <w:kern w:val="2"/>
          <w:sz w:val="24"/>
          <w:szCs w:val="24"/>
          <w:highlight w:val="none"/>
          <w:lang w:val="en-US" w:eastAsia="zh-CN" w:bidi="ar-SA"/>
        </w:rPr>
        <w:t>注册和保护商标、专利、版权等知识产权，确保</w:t>
      </w:r>
      <w:r>
        <w:rPr>
          <w:rFonts w:hint="eastAsia" w:cs="宋体"/>
          <w:color w:val="auto"/>
          <w:kern w:val="2"/>
          <w:sz w:val="24"/>
          <w:szCs w:val="24"/>
          <w:highlight w:val="none"/>
          <w:lang w:val="en-US" w:eastAsia="zh-CN" w:bidi="ar-SA"/>
        </w:rPr>
        <w:t>医院</w:t>
      </w:r>
      <w:r>
        <w:rPr>
          <w:rFonts w:hint="default" w:ascii="宋体" w:hAnsi="宋体" w:eastAsia="宋体" w:cs="宋体"/>
          <w:color w:val="auto"/>
          <w:kern w:val="2"/>
          <w:sz w:val="24"/>
          <w:szCs w:val="24"/>
          <w:highlight w:val="none"/>
          <w:lang w:val="en-US" w:eastAsia="zh-CN" w:bidi="ar-SA"/>
        </w:rPr>
        <w:t>的创新成果得到法律保护。</w:t>
      </w:r>
    </w:p>
    <w:p w14:paraId="69319CCB">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0" w:right="0" w:firstLine="480" w:firstLineChars="200"/>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2.6</w:t>
      </w:r>
      <w:r>
        <w:rPr>
          <w:rFonts w:hint="default" w:ascii="宋体" w:hAnsi="宋体" w:eastAsia="宋体" w:cs="宋体"/>
          <w:color w:val="auto"/>
          <w:kern w:val="2"/>
          <w:sz w:val="24"/>
          <w:szCs w:val="24"/>
          <w:highlight w:val="none"/>
          <w:lang w:val="en-US" w:eastAsia="zh-CN" w:bidi="ar-SA"/>
        </w:rPr>
        <w:t>‌劳动法律事务‌：法律顾问提供雇佣合同、劳动法等方面的指导，降低劳动纠纷风险，确保</w:t>
      </w:r>
      <w:r>
        <w:rPr>
          <w:rFonts w:hint="eastAsia" w:cs="宋体"/>
          <w:color w:val="auto"/>
          <w:kern w:val="2"/>
          <w:sz w:val="24"/>
          <w:szCs w:val="24"/>
          <w:highlight w:val="none"/>
          <w:lang w:val="en-US" w:eastAsia="zh-CN" w:bidi="ar-SA"/>
        </w:rPr>
        <w:t>医院</w:t>
      </w:r>
      <w:r>
        <w:rPr>
          <w:rFonts w:hint="default" w:ascii="宋体" w:hAnsi="宋体" w:eastAsia="宋体" w:cs="宋体"/>
          <w:color w:val="auto"/>
          <w:kern w:val="2"/>
          <w:sz w:val="24"/>
          <w:szCs w:val="24"/>
          <w:highlight w:val="none"/>
          <w:lang w:val="en-US" w:eastAsia="zh-CN" w:bidi="ar-SA"/>
        </w:rPr>
        <w:t>合规运营。</w:t>
      </w:r>
    </w:p>
    <w:p w14:paraId="3858E84D">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0" w:right="0" w:firstLine="480" w:firstLineChars="200"/>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2.7</w:t>
      </w:r>
      <w:r>
        <w:rPr>
          <w:rFonts w:hint="default" w:ascii="宋体" w:hAnsi="宋体" w:eastAsia="宋体" w:cs="宋体"/>
          <w:color w:val="auto"/>
          <w:kern w:val="2"/>
          <w:sz w:val="24"/>
          <w:szCs w:val="24"/>
          <w:highlight w:val="none"/>
          <w:lang w:val="en-US" w:eastAsia="zh-CN" w:bidi="ar-SA"/>
        </w:rPr>
        <w:t>‌</w:t>
      </w:r>
      <w:r>
        <w:rPr>
          <w:rFonts w:hint="eastAsia" w:cs="宋体"/>
          <w:color w:val="auto"/>
          <w:kern w:val="2"/>
          <w:sz w:val="24"/>
          <w:szCs w:val="24"/>
          <w:highlight w:val="none"/>
          <w:lang w:val="en-US" w:eastAsia="zh-CN" w:bidi="ar-SA"/>
        </w:rPr>
        <w:t>医院</w:t>
      </w:r>
      <w:r>
        <w:rPr>
          <w:rFonts w:hint="default" w:ascii="宋体" w:hAnsi="宋体" w:eastAsia="宋体" w:cs="宋体"/>
          <w:color w:val="auto"/>
          <w:kern w:val="2"/>
          <w:sz w:val="24"/>
          <w:szCs w:val="24"/>
          <w:highlight w:val="none"/>
          <w:lang w:val="en-US" w:eastAsia="zh-CN" w:bidi="ar-SA"/>
        </w:rPr>
        <w:t>治理‌：法律顾问协助建立和维持适当的</w:t>
      </w:r>
      <w:r>
        <w:rPr>
          <w:rFonts w:hint="eastAsia" w:cs="宋体"/>
          <w:color w:val="auto"/>
          <w:kern w:val="2"/>
          <w:sz w:val="24"/>
          <w:szCs w:val="24"/>
          <w:highlight w:val="none"/>
          <w:lang w:val="en-US" w:eastAsia="zh-CN" w:bidi="ar-SA"/>
        </w:rPr>
        <w:t>医院</w:t>
      </w:r>
      <w:r>
        <w:rPr>
          <w:rFonts w:hint="default" w:ascii="宋体" w:hAnsi="宋体" w:eastAsia="宋体" w:cs="宋体"/>
          <w:color w:val="auto"/>
          <w:kern w:val="2"/>
          <w:sz w:val="24"/>
          <w:szCs w:val="24"/>
          <w:highlight w:val="none"/>
          <w:lang w:val="en-US" w:eastAsia="zh-CN" w:bidi="ar-SA"/>
        </w:rPr>
        <w:t>治理结构，确保</w:t>
      </w:r>
      <w:r>
        <w:rPr>
          <w:rFonts w:hint="eastAsia" w:cs="宋体"/>
          <w:color w:val="auto"/>
          <w:kern w:val="2"/>
          <w:sz w:val="24"/>
          <w:szCs w:val="24"/>
          <w:highlight w:val="none"/>
          <w:lang w:val="en-US" w:eastAsia="zh-CN" w:bidi="ar-SA"/>
        </w:rPr>
        <w:t>医院</w:t>
      </w:r>
      <w:r>
        <w:rPr>
          <w:rFonts w:hint="default" w:ascii="宋体" w:hAnsi="宋体" w:eastAsia="宋体" w:cs="宋体"/>
          <w:color w:val="auto"/>
          <w:kern w:val="2"/>
          <w:sz w:val="24"/>
          <w:szCs w:val="24"/>
          <w:highlight w:val="none"/>
          <w:lang w:val="en-US" w:eastAsia="zh-CN" w:bidi="ar-SA"/>
        </w:rPr>
        <w:t>运营符合法律和道德标准。</w:t>
      </w:r>
    </w:p>
    <w:p w14:paraId="061F395D">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0" w:right="0" w:firstLine="480" w:firstLineChars="200"/>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2.8</w:t>
      </w:r>
      <w:r>
        <w:rPr>
          <w:rFonts w:hint="default" w:ascii="宋体" w:hAnsi="宋体" w:eastAsia="宋体" w:cs="宋体"/>
          <w:color w:val="auto"/>
          <w:kern w:val="2"/>
          <w:sz w:val="24"/>
          <w:szCs w:val="24"/>
          <w:highlight w:val="none"/>
          <w:lang w:val="en-US" w:eastAsia="zh-CN" w:bidi="ar-SA"/>
        </w:rPr>
        <w:t>‌提升</w:t>
      </w:r>
      <w:r>
        <w:rPr>
          <w:rFonts w:hint="eastAsia" w:cs="宋体"/>
          <w:color w:val="auto"/>
          <w:kern w:val="2"/>
          <w:sz w:val="24"/>
          <w:szCs w:val="24"/>
          <w:highlight w:val="none"/>
          <w:lang w:val="en-US" w:eastAsia="zh-CN" w:bidi="ar-SA"/>
        </w:rPr>
        <w:t>医院</w:t>
      </w:r>
      <w:r>
        <w:rPr>
          <w:rFonts w:hint="default" w:ascii="宋体" w:hAnsi="宋体" w:eastAsia="宋体" w:cs="宋体"/>
          <w:color w:val="auto"/>
          <w:kern w:val="2"/>
          <w:sz w:val="24"/>
          <w:szCs w:val="24"/>
          <w:highlight w:val="none"/>
          <w:lang w:val="en-US" w:eastAsia="zh-CN" w:bidi="ar-SA"/>
        </w:rPr>
        <w:t>形象‌：聘请专业的法律顾问可以提升</w:t>
      </w:r>
      <w:r>
        <w:rPr>
          <w:rFonts w:hint="eastAsia" w:cs="宋体"/>
          <w:color w:val="auto"/>
          <w:kern w:val="2"/>
          <w:sz w:val="24"/>
          <w:szCs w:val="24"/>
          <w:highlight w:val="none"/>
          <w:lang w:val="en-US" w:eastAsia="zh-CN" w:bidi="ar-SA"/>
        </w:rPr>
        <w:t>医院</w:t>
      </w:r>
      <w:r>
        <w:rPr>
          <w:rFonts w:hint="default" w:ascii="宋体" w:hAnsi="宋体" w:eastAsia="宋体" w:cs="宋体"/>
          <w:color w:val="auto"/>
          <w:kern w:val="2"/>
          <w:sz w:val="24"/>
          <w:szCs w:val="24"/>
          <w:highlight w:val="none"/>
          <w:lang w:val="en-US" w:eastAsia="zh-CN" w:bidi="ar-SA"/>
        </w:rPr>
        <w:t>的专业形象，增强客户和合作伙伴的信任。</w:t>
      </w:r>
    </w:p>
    <w:p w14:paraId="5F79DAFB">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0" w:right="0" w:firstLine="480" w:firstLineChars="200"/>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2.9</w:t>
      </w:r>
      <w:r>
        <w:rPr>
          <w:rFonts w:hint="default" w:ascii="宋体" w:hAnsi="宋体" w:eastAsia="宋体" w:cs="宋体"/>
          <w:color w:val="auto"/>
          <w:kern w:val="2"/>
          <w:sz w:val="24"/>
          <w:szCs w:val="24"/>
          <w:highlight w:val="none"/>
          <w:lang w:val="en-US" w:eastAsia="zh-CN" w:bidi="ar-SA"/>
        </w:rPr>
        <w:t>‌法律培训和指导‌：法律顾问为</w:t>
      </w:r>
      <w:r>
        <w:rPr>
          <w:rFonts w:hint="eastAsia" w:cs="宋体"/>
          <w:color w:val="auto"/>
          <w:kern w:val="2"/>
          <w:sz w:val="24"/>
          <w:szCs w:val="24"/>
          <w:highlight w:val="none"/>
          <w:lang w:val="en-US" w:eastAsia="zh-CN" w:bidi="ar-SA"/>
        </w:rPr>
        <w:t>医院</w:t>
      </w:r>
      <w:r>
        <w:rPr>
          <w:rFonts w:hint="default" w:ascii="宋体" w:hAnsi="宋体" w:eastAsia="宋体" w:cs="宋体"/>
          <w:color w:val="auto"/>
          <w:kern w:val="2"/>
          <w:sz w:val="24"/>
          <w:szCs w:val="24"/>
          <w:highlight w:val="none"/>
          <w:lang w:val="en-US" w:eastAsia="zh-CN" w:bidi="ar-SA"/>
        </w:rPr>
        <w:t>和员工提供法律培训，提高员工的法律意识，减少因违法行为带来的损失。</w:t>
      </w:r>
    </w:p>
    <w:p w14:paraId="3009FF71">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0" w:right="0" w:firstLine="480" w:firstLineChars="200"/>
      </w:pPr>
      <w:r>
        <w:rPr>
          <w:rFonts w:hint="eastAsia" w:cs="宋体"/>
          <w:color w:val="auto"/>
          <w:kern w:val="2"/>
          <w:sz w:val="24"/>
          <w:szCs w:val="24"/>
          <w:highlight w:val="none"/>
          <w:lang w:val="en-US" w:eastAsia="zh-CN" w:bidi="ar-SA"/>
        </w:rPr>
        <w:t>2.10</w:t>
      </w:r>
      <w:r>
        <w:rPr>
          <w:rFonts w:hint="default" w:ascii="宋体" w:hAnsi="宋体" w:eastAsia="宋体" w:cs="宋体"/>
          <w:color w:val="auto"/>
          <w:kern w:val="2"/>
          <w:sz w:val="24"/>
          <w:szCs w:val="24"/>
          <w:highlight w:val="none"/>
          <w:lang w:val="en-US" w:eastAsia="zh-CN" w:bidi="ar-SA"/>
        </w:rPr>
        <w:t>‌诉讼防御和管理‌：在发生法律纠纷时，法律顾问代表</w:t>
      </w:r>
      <w:r>
        <w:rPr>
          <w:rFonts w:hint="eastAsia" w:cs="宋体"/>
          <w:color w:val="auto"/>
          <w:kern w:val="2"/>
          <w:sz w:val="24"/>
          <w:szCs w:val="24"/>
          <w:highlight w:val="none"/>
          <w:lang w:val="en-US" w:eastAsia="zh-CN" w:bidi="ar-SA"/>
        </w:rPr>
        <w:t>医院</w:t>
      </w:r>
      <w:r>
        <w:rPr>
          <w:rFonts w:hint="default" w:ascii="宋体" w:hAnsi="宋体" w:eastAsia="宋体" w:cs="宋体"/>
          <w:color w:val="auto"/>
          <w:kern w:val="2"/>
          <w:sz w:val="24"/>
          <w:szCs w:val="24"/>
          <w:highlight w:val="none"/>
          <w:lang w:val="en-US" w:eastAsia="zh-CN" w:bidi="ar-SA"/>
        </w:rPr>
        <w:t>进行调解、仲裁或诉讼，维护</w:t>
      </w:r>
      <w:r>
        <w:rPr>
          <w:rFonts w:hint="eastAsia" w:cs="宋体"/>
          <w:color w:val="auto"/>
          <w:kern w:val="2"/>
          <w:sz w:val="24"/>
          <w:szCs w:val="24"/>
          <w:highlight w:val="none"/>
          <w:lang w:val="en-US" w:eastAsia="zh-CN" w:bidi="ar-SA"/>
        </w:rPr>
        <w:t>医院</w:t>
      </w:r>
      <w:r>
        <w:rPr>
          <w:rFonts w:hint="default" w:ascii="宋体" w:hAnsi="宋体" w:eastAsia="宋体" w:cs="宋体"/>
          <w:color w:val="auto"/>
          <w:kern w:val="2"/>
          <w:sz w:val="24"/>
          <w:szCs w:val="24"/>
          <w:highlight w:val="none"/>
          <w:lang w:val="en-US" w:eastAsia="zh-CN" w:bidi="ar-SA"/>
        </w:rPr>
        <w:t>的合法权益。</w:t>
      </w:r>
    </w:p>
    <w:p w14:paraId="295C8D30">
      <w:pPr>
        <w:pStyle w:val="3"/>
        <w:keepNext/>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color w:val="auto"/>
          <w:sz w:val="24"/>
          <w:szCs w:val="24"/>
          <w:highlight w:val="none"/>
          <w:lang w:val="zh-CN" w:eastAsia="zh-CN"/>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val="zh-CN" w:eastAsia="zh-CN"/>
        </w:rPr>
        <w:t>三、商务要求</w:t>
      </w:r>
    </w:p>
    <w:p w14:paraId="45F946A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（一）服务地点：甲方指定地点</w:t>
      </w:r>
      <w:r>
        <w:rPr>
          <w:rFonts w:hint="eastAsia" w:asciiTheme="minorEastAsia" w:hAnsiTheme="minorEastAsia" w:eastAsiaTheme="minorEastAsia" w:cstheme="minorEastAsia"/>
          <w:color w:val="auto"/>
          <w:sz w:val="24"/>
          <w:szCs w:val="24"/>
          <w:highlight w:val="none"/>
          <w:u w:val="none"/>
          <w:lang w:val="en-US" w:eastAsia="zh-CN"/>
        </w:rPr>
        <w:t>。</w:t>
      </w:r>
    </w:p>
    <w:p w14:paraId="4399E9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（二）服务期限：2025年至2027年</w:t>
      </w:r>
      <w:r>
        <w:rPr>
          <w:rFonts w:hint="eastAsia" w:asciiTheme="minorEastAsia" w:hAnsiTheme="minorEastAsia" w:eastAsiaTheme="minorEastAsia" w:cstheme="minorEastAsia"/>
          <w:color w:val="auto"/>
          <w:sz w:val="24"/>
          <w:szCs w:val="24"/>
          <w:highlight w:val="none"/>
          <w:u w:val="none"/>
          <w:lang w:val="en-US" w:eastAsia="zh-CN"/>
        </w:rPr>
        <w:t>。</w:t>
      </w:r>
    </w:p>
    <w:p w14:paraId="6A66DF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（三）付款方式和条件：一年支付该年度费用</w:t>
      </w:r>
      <w:r>
        <w:rPr>
          <w:rFonts w:hint="eastAsia" w:asciiTheme="minorEastAsia" w:hAnsiTheme="minorEastAsia" w:eastAsiaTheme="minorEastAsia" w:cstheme="minorEastAsia"/>
          <w:bCs/>
          <w:color w:val="auto"/>
          <w:sz w:val="24"/>
          <w:szCs w:val="24"/>
          <w:highlight w:val="none"/>
          <w:lang w:val="en-US" w:eastAsia="zh-CN"/>
        </w:rPr>
        <w:t>。</w:t>
      </w:r>
    </w:p>
    <w:p w14:paraId="036E9A24">
      <w:pPr>
        <w:keepNext/>
        <w:keepLines/>
        <w:pageBreakBefore w:val="0"/>
        <w:widowControl w:val="0"/>
        <w:kinsoku/>
        <w:wordWrap/>
        <w:overflowPunct/>
        <w:topLinePunct w:val="0"/>
        <w:autoSpaceDE/>
        <w:autoSpaceDN/>
        <w:bidi w:val="0"/>
        <w:adjustRightInd/>
        <w:snapToGrid/>
        <w:spacing w:before="100" w:after="100" w:line="360" w:lineRule="auto"/>
        <w:textAlignment w:val="auto"/>
        <w:outlineLvl w:val="9"/>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（四）</w:t>
      </w:r>
      <w:r>
        <w:rPr>
          <w:rFonts w:hint="eastAsia" w:asciiTheme="minorEastAsia" w:hAnsiTheme="minorEastAsia" w:eastAsiaTheme="minorEastAsia" w:cstheme="minorEastAsia"/>
          <w:b/>
          <w:bCs w:val="0"/>
          <w:color w:val="auto"/>
          <w:sz w:val="24"/>
          <w:szCs w:val="24"/>
          <w:highlight w:val="none"/>
          <w:lang w:val="en-US" w:eastAsia="zh-CN"/>
        </w:rPr>
        <w:t>验收要求</w:t>
      </w:r>
      <w:r>
        <w:rPr>
          <w:rFonts w:hint="eastAsia" w:asciiTheme="minorEastAsia" w:hAnsiTheme="minorEastAsia" w:eastAsiaTheme="minorEastAsia" w:cstheme="minorEastAsia"/>
          <w:bCs/>
          <w:color w:val="auto"/>
          <w:sz w:val="24"/>
          <w:szCs w:val="24"/>
          <w:highlight w:val="none"/>
          <w:lang w:val="en-US" w:eastAsia="zh-CN"/>
        </w:rPr>
        <w:t>：</w:t>
      </w:r>
    </w:p>
    <w:p w14:paraId="0935B534">
      <w:pPr>
        <w:keepNext/>
        <w:keepLines/>
        <w:pageBreakBefore w:val="0"/>
        <w:widowControl w:val="0"/>
        <w:kinsoku/>
        <w:wordWrap/>
        <w:overflowPunct/>
        <w:topLinePunct w:val="0"/>
        <w:autoSpaceDE/>
        <w:autoSpaceDN/>
        <w:bidi w:val="0"/>
        <w:adjustRightInd/>
        <w:snapToGrid/>
        <w:spacing w:before="100" w:after="100" w:line="360" w:lineRule="auto"/>
        <w:ind w:firstLine="480" w:firstLineChars="200"/>
        <w:textAlignment w:val="auto"/>
        <w:outlineLvl w:val="9"/>
        <w:rPr>
          <w:rFonts w:hint="eastAsia" w:asciiTheme="minorEastAsia" w:hAnsiTheme="minorEastAsia" w:eastAsiaTheme="minorEastAsia" w:cstheme="minorEastAsia"/>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1、参照《财政部关于进一步加强政府采购需求和履约验收管理的指导意见》的通知（财库[2016]205号）的要求，按照竞争性谈判文件的规定和合同内容进行验收。</w:t>
      </w:r>
    </w:p>
    <w:p w14:paraId="791EE610">
      <w:pPr>
        <w:pStyle w:val="32"/>
        <w:spacing w:line="360" w:lineRule="auto"/>
        <w:ind w:left="0" w:leftChars="0" w:firstLine="0" w:firstLineChars="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（五）质量要求：</w:t>
      </w:r>
      <w:r>
        <w:rPr>
          <w:rFonts w:ascii="宋体" w:hAnsi="宋体" w:eastAsia="宋体" w:cs="宋体"/>
          <w:sz w:val="24"/>
          <w:shd w:val="clear" w:fill="FFFFFF"/>
        </w:rPr>
        <w:t>质量符合国家及行业现行法规、技术规范要求</w:t>
      </w:r>
      <w:r>
        <w:rPr>
          <w:rFonts w:hint="eastAsia" w:asciiTheme="minorEastAsia" w:hAnsiTheme="minorEastAsia" w:eastAsiaTheme="minorEastAsia" w:cstheme="minorEastAsia"/>
          <w:sz w:val="24"/>
          <w:szCs w:val="24"/>
          <w:shd w:val="clear" w:fill="FFFFFF"/>
        </w:rPr>
        <w:t>。</w:t>
      </w:r>
    </w:p>
    <w:p w14:paraId="3C0E2135">
      <w:pPr>
        <w:pStyle w:val="32"/>
        <w:spacing w:line="36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（六）</w:t>
      </w:r>
      <w:r>
        <w:rPr>
          <w:rFonts w:hint="eastAsia" w:asciiTheme="minorEastAsia" w:hAnsiTheme="minorEastAsia" w:eastAsiaTheme="minorEastAsia" w:cstheme="minorEastAsia"/>
          <w:sz w:val="24"/>
          <w:szCs w:val="24"/>
          <w:shd w:val="clear" w:fill="FFFFFF"/>
        </w:rPr>
        <w:t>成交供应商履行本合同取得的成果未经采购人同意不得将资料及文件擅自修改、复印或向第三方转让或用于本项目外的项目。如发生以上情况，承担由此引起的一切后果并承担赔偿责任。</w:t>
      </w:r>
    </w:p>
    <w:p w14:paraId="61E5536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注意：</w:t>
      </w:r>
    </w:p>
    <w:p w14:paraId="3759129F">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val="0"/>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w:t>
      </w:r>
      <w:r>
        <w:rPr>
          <w:rFonts w:hint="eastAsia" w:ascii="宋体" w:hAnsi="宋体" w:eastAsia="宋体" w:cs="宋体"/>
          <w:b/>
          <w:bCs w:val="0"/>
          <w:color w:val="auto"/>
          <w:sz w:val="24"/>
          <w:szCs w:val="24"/>
          <w:highlight w:val="none"/>
        </w:rPr>
        <w:t>以上</w:t>
      </w:r>
      <w:r>
        <w:rPr>
          <w:rFonts w:hint="eastAsia" w:ascii="宋体" w:hAnsi="宋体" w:eastAsia="宋体" w:cs="宋体"/>
          <w:b/>
          <w:bCs w:val="0"/>
          <w:color w:val="auto"/>
          <w:sz w:val="24"/>
          <w:szCs w:val="24"/>
          <w:highlight w:val="none"/>
          <w:lang w:eastAsia="zh-CN"/>
        </w:rPr>
        <w:t>服务内容及</w:t>
      </w:r>
      <w:r>
        <w:rPr>
          <w:rFonts w:hint="eastAsia" w:ascii="宋体" w:hAnsi="宋体" w:eastAsia="宋体" w:cs="宋体"/>
          <w:b/>
          <w:bCs w:val="0"/>
          <w:color w:val="auto"/>
          <w:sz w:val="24"/>
          <w:szCs w:val="24"/>
          <w:highlight w:val="none"/>
        </w:rPr>
        <w:t>要求、商务要求</w:t>
      </w:r>
      <w:r>
        <w:rPr>
          <w:rFonts w:hint="eastAsia" w:ascii="宋体" w:hAnsi="宋体" w:eastAsia="宋体" w:cs="宋体"/>
          <w:b/>
          <w:bCs w:val="0"/>
          <w:color w:val="auto"/>
          <w:sz w:val="24"/>
          <w:szCs w:val="24"/>
          <w:highlight w:val="none"/>
          <w:lang w:val="en-US" w:eastAsia="zh-CN"/>
        </w:rPr>
        <w:t>中打“★”的条款</w:t>
      </w:r>
      <w:r>
        <w:rPr>
          <w:rFonts w:hint="eastAsia" w:ascii="宋体" w:hAnsi="宋体" w:eastAsia="宋体" w:cs="宋体"/>
          <w:b/>
          <w:bCs w:val="0"/>
          <w:color w:val="auto"/>
          <w:sz w:val="24"/>
          <w:szCs w:val="24"/>
          <w:highlight w:val="none"/>
        </w:rPr>
        <w:t>为本次</w:t>
      </w:r>
      <w:r>
        <w:rPr>
          <w:rFonts w:hint="eastAsia" w:ascii="宋体" w:hAnsi="宋体" w:eastAsia="宋体" w:cs="宋体"/>
          <w:b/>
          <w:bCs w:val="0"/>
          <w:color w:val="auto"/>
          <w:sz w:val="24"/>
          <w:szCs w:val="24"/>
          <w:highlight w:val="none"/>
          <w:lang w:eastAsia="zh-CN"/>
        </w:rPr>
        <w:t>谈判</w:t>
      </w:r>
      <w:r>
        <w:rPr>
          <w:rFonts w:hint="eastAsia" w:ascii="宋体" w:hAnsi="宋体" w:eastAsia="宋体" w:cs="宋体"/>
          <w:b/>
          <w:bCs w:val="0"/>
          <w:color w:val="auto"/>
          <w:sz w:val="24"/>
          <w:szCs w:val="24"/>
          <w:highlight w:val="none"/>
        </w:rPr>
        <w:t>采购活动体现满足采购需求、质量和服务相等的采购项目最低要求，不允许有负偏离。</w:t>
      </w:r>
    </w:p>
    <w:p w14:paraId="7C886403">
      <w:pPr>
        <w:pStyle w:val="30"/>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jc w:val="both"/>
        <w:textAlignment w:val="auto"/>
        <w:outlineLvl w:val="9"/>
        <w:rPr>
          <w:rFonts w:hint="eastAsia" w:ascii="宋体" w:hAnsi="宋体" w:eastAsia="宋体" w:cs="宋体"/>
          <w:b/>
          <w:bCs w:val="0"/>
          <w:color w:val="auto"/>
          <w:kern w:val="0"/>
          <w:sz w:val="24"/>
          <w:highlight w:val="none"/>
        </w:rPr>
      </w:pPr>
      <w:r>
        <w:rPr>
          <w:rFonts w:hint="eastAsia" w:ascii="宋体" w:hAnsi="宋体" w:eastAsia="宋体" w:cs="宋体"/>
          <w:b/>
          <w:bCs w:val="0"/>
          <w:color w:val="auto"/>
          <w:kern w:val="0"/>
          <w:sz w:val="24"/>
          <w:highlight w:val="none"/>
        </w:rPr>
        <w:t>2</w:t>
      </w:r>
      <w:r>
        <w:rPr>
          <w:rFonts w:hint="eastAsia" w:ascii="宋体" w:hAnsi="宋体" w:cs="宋体"/>
          <w:b/>
          <w:bCs w:val="0"/>
          <w:color w:val="auto"/>
          <w:kern w:val="0"/>
          <w:sz w:val="24"/>
          <w:highlight w:val="none"/>
          <w:lang w:eastAsia="zh-CN"/>
        </w:rPr>
        <w:t>、</w:t>
      </w:r>
      <w:r>
        <w:rPr>
          <w:rFonts w:hint="eastAsia" w:ascii="宋体" w:hAnsi="宋体" w:eastAsia="宋体" w:cs="宋体"/>
          <w:b/>
          <w:bCs w:val="0"/>
          <w:color w:val="auto"/>
          <w:kern w:val="0"/>
          <w:sz w:val="24"/>
          <w:highlight w:val="none"/>
        </w:rPr>
        <w:t>本章所包含的全部采购需求，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bookmarkEnd w:id="13"/>
      <w:bookmarkEnd w:id="14"/>
      <w:bookmarkEnd w:id="15"/>
      <w:bookmarkEnd w:id="16"/>
      <w:bookmarkEnd w:id="17"/>
      <w:bookmarkStart w:id="22" w:name="_Toc508279827"/>
      <w:bookmarkStart w:id="23" w:name="_Toc183682369"/>
      <w:bookmarkStart w:id="24" w:name="_Toc217446057"/>
      <w:bookmarkStart w:id="25" w:name="_Toc183582232"/>
    </w:p>
    <w:bookmarkEnd w:id="22"/>
    <w:p w14:paraId="6DD8182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bookmarkStart w:id="26" w:name="_Toc508279837"/>
      <w:r>
        <w:rPr>
          <w:rFonts w:hint="eastAsia" w:ascii="宋体" w:hAnsi="宋体" w:eastAsia="宋体" w:cs="宋体"/>
          <w:b/>
          <w:bCs/>
          <w:color w:val="auto"/>
          <w:highlight w:val="none"/>
        </w:rPr>
        <w:br w:type="page"/>
      </w:r>
      <w:r>
        <w:rPr>
          <w:rFonts w:hint="eastAsia" w:ascii="宋体" w:hAnsi="宋体" w:eastAsia="宋体" w:cs="宋体"/>
          <w:b/>
          <w:bCs/>
          <w:color w:val="auto"/>
          <w:sz w:val="30"/>
          <w:szCs w:val="30"/>
          <w:highlight w:val="none"/>
        </w:rPr>
        <w:t>第</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章  评审方法</w:t>
      </w:r>
      <w:bookmarkEnd w:id="26"/>
    </w:p>
    <w:p w14:paraId="5CB3B406">
      <w:pPr>
        <w:pStyle w:val="3"/>
        <w:keepNext w:val="0"/>
        <w:keepLines w:val="0"/>
        <w:pageBreakBefore w:val="0"/>
        <w:widowControl w:val="0"/>
        <w:kinsoku/>
        <w:wordWrap/>
        <w:overflowPunct/>
        <w:topLinePunct w:val="0"/>
        <w:autoSpaceDE/>
        <w:autoSpaceDN/>
        <w:bidi w:val="0"/>
        <w:adjustRightInd/>
        <w:snapToGrid/>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27" w:name="_Toc508279838"/>
      <w:r>
        <w:rPr>
          <w:rFonts w:hint="eastAsia" w:ascii="宋体" w:hAnsi="宋体" w:eastAsia="宋体" w:cs="宋体"/>
          <w:color w:val="auto"/>
          <w:sz w:val="24"/>
          <w:szCs w:val="24"/>
          <w:highlight w:val="none"/>
        </w:rPr>
        <w:t>1.总则</w:t>
      </w:r>
      <w:bookmarkEnd w:id="27"/>
    </w:p>
    <w:p w14:paraId="66D29105">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28" w:name="_Toc508279839"/>
      <w:r>
        <w:rPr>
          <w:rFonts w:hint="eastAsia" w:ascii="宋体" w:hAnsi="宋体" w:eastAsia="宋体" w:cs="宋体"/>
          <w:b w:val="0"/>
          <w:bCs/>
          <w:color w:val="auto"/>
          <w:sz w:val="24"/>
          <w:szCs w:val="24"/>
          <w:highlight w:val="none"/>
        </w:rPr>
        <w:t xml:space="preserve">1.1 </w:t>
      </w:r>
      <w:r>
        <w:rPr>
          <w:rFonts w:hint="eastAsia" w:ascii="宋体" w:hAnsi="宋体" w:eastAsia="宋体" w:cs="宋体"/>
          <w:b w:val="0"/>
          <w:bCs/>
          <w:color w:val="auto"/>
          <w:sz w:val="24"/>
          <w:szCs w:val="24"/>
          <w:highlight w:val="none"/>
          <w:lang w:eastAsia="zh-CN"/>
        </w:rPr>
        <w:t>参照</w:t>
      </w:r>
      <w:r>
        <w:rPr>
          <w:rFonts w:hint="eastAsia" w:ascii="宋体" w:hAnsi="宋体" w:eastAsia="宋体" w:cs="宋体"/>
          <w:b w:val="0"/>
          <w:bCs/>
          <w:color w:val="auto"/>
          <w:sz w:val="24"/>
          <w:szCs w:val="24"/>
          <w:highlight w:val="none"/>
        </w:rPr>
        <w:t>《中华人民共和国政府采购法</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中华人民共和国政府采购法实施条例</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政府采购非招标采购方式管理办法》等法律制度，结合采购项目特点制定本谈判办法。</w:t>
      </w:r>
      <w:bookmarkEnd w:id="28"/>
    </w:p>
    <w:p w14:paraId="2BBA0185">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29" w:name="_Toc508279840"/>
      <w:r>
        <w:rPr>
          <w:rFonts w:hint="eastAsia" w:ascii="宋体" w:hAnsi="宋体" w:eastAsia="宋体" w:cs="宋体"/>
          <w:b w:val="0"/>
          <w:bCs/>
          <w:color w:val="auto"/>
          <w:sz w:val="24"/>
          <w:szCs w:val="24"/>
          <w:highlight w:val="none"/>
        </w:rPr>
        <w:t>1.2 谈判工作由</w:t>
      </w:r>
      <w:r>
        <w:rPr>
          <w:rFonts w:hint="eastAsia" w:ascii="宋体" w:hAnsi="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负责组织，具体谈判由</w:t>
      </w:r>
      <w:r>
        <w:rPr>
          <w:rFonts w:hint="eastAsia" w:ascii="宋体" w:hAnsi="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依法组建的谈判小组负责</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谈判小组由采购人代表组成。</w:t>
      </w:r>
      <w:bookmarkEnd w:id="29"/>
    </w:p>
    <w:p w14:paraId="3A0BC18C">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30" w:name="_Toc508279841"/>
      <w:r>
        <w:rPr>
          <w:rFonts w:hint="eastAsia" w:ascii="宋体" w:hAnsi="宋体" w:eastAsia="宋体" w:cs="宋体"/>
          <w:b w:val="0"/>
          <w:bCs/>
          <w:color w:val="auto"/>
          <w:sz w:val="24"/>
          <w:szCs w:val="24"/>
          <w:highlight w:val="none"/>
        </w:rPr>
        <w:t>1.3 谈判工作应遵循公平、公正、科学及择优的原则，并以相同的谈判程序和标准对待所有的供应商。</w:t>
      </w:r>
      <w:bookmarkEnd w:id="30"/>
    </w:p>
    <w:p w14:paraId="0D14FF67">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31" w:name="_Toc508279842"/>
      <w:r>
        <w:rPr>
          <w:rFonts w:hint="eastAsia" w:ascii="宋体" w:hAnsi="宋体" w:eastAsia="宋体" w:cs="宋体"/>
          <w:b w:val="0"/>
          <w:bCs/>
          <w:color w:val="auto"/>
          <w:sz w:val="24"/>
          <w:szCs w:val="24"/>
          <w:highlight w:val="none"/>
        </w:rPr>
        <w:t>1.4 谈判小组按照谈判文件规定的谈判方法和标准进行谈判，并独立履行下列职责：</w:t>
      </w:r>
      <w:bookmarkEnd w:id="31"/>
    </w:p>
    <w:p w14:paraId="46301639">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32" w:name="_Toc508279843"/>
      <w:r>
        <w:rPr>
          <w:rFonts w:hint="eastAsia" w:ascii="宋体" w:hAnsi="宋体" w:eastAsia="宋体" w:cs="宋体"/>
          <w:b w:val="0"/>
          <w:bCs/>
          <w:color w:val="auto"/>
          <w:sz w:val="24"/>
          <w:szCs w:val="24"/>
          <w:highlight w:val="none"/>
        </w:rPr>
        <w:t>（一）确认谈判文件；</w:t>
      </w:r>
    </w:p>
    <w:p w14:paraId="18BAB44E">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（二）熟悉和理解谈判文件，确定谈判文件内容是否违反国家有关强制性规定或者谈判文件存在歧义、重大缺陷；</w:t>
      </w:r>
      <w:bookmarkEnd w:id="32"/>
    </w:p>
    <w:p w14:paraId="641BE18F">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33" w:name="_Toc508279844"/>
      <w:r>
        <w:rPr>
          <w:rFonts w:hint="eastAsia" w:ascii="宋体" w:hAnsi="宋体" w:eastAsia="宋体" w:cs="宋体"/>
          <w:b w:val="0"/>
          <w:bCs/>
          <w:color w:val="auto"/>
          <w:sz w:val="24"/>
          <w:szCs w:val="24"/>
          <w:highlight w:val="none"/>
        </w:rPr>
        <w:t>（三）审查供应商响应文件是否满足谈判文件要求，并作出公正评价；</w:t>
      </w:r>
      <w:bookmarkEnd w:id="33"/>
    </w:p>
    <w:p w14:paraId="61BA9188">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34" w:name="_Toc508279845"/>
      <w:r>
        <w:rPr>
          <w:rFonts w:hint="eastAsia" w:ascii="宋体" w:hAnsi="宋体" w:eastAsia="宋体" w:cs="宋体"/>
          <w:b w:val="0"/>
          <w:bCs/>
          <w:color w:val="auto"/>
          <w:sz w:val="24"/>
          <w:szCs w:val="24"/>
          <w:highlight w:val="none"/>
        </w:rPr>
        <w:t>（四）根据需要要求供应商对谈判文件有关事项作出澄清、说明或者纠正；</w:t>
      </w:r>
      <w:bookmarkEnd w:id="34"/>
    </w:p>
    <w:p w14:paraId="271DF963">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35" w:name="_Toc508279846"/>
      <w:r>
        <w:rPr>
          <w:rFonts w:hint="eastAsia" w:ascii="宋体" w:hAnsi="宋体" w:eastAsia="宋体" w:cs="宋体"/>
          <w:b w:val="0"/>
          <w:bCs/>
          <w:color w:val="auto"/>
          <w:sz w:val="24"/>
          <w:szCs w:val="24"/>
          <w:highlight w:val="none"/>
        </w:rPr>
        <w:t>（五）推荐成交供应商，或者受采购人委托确定成交供应商；</w:t>
      </w:r>
      <w:bookmarkEnd w:id="35"/>
    </w:p>
    <w:p w14:paraId="2D55CA9B">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36" w:name="_Toc508279847"/>
      <w:r>
        <w:rPr>
          <w:rFonts w:hint="eastAsia" w:ascii="宋体" w:hAnsi="宋体" w:eastAsia="宋体" w:cs="宋体"/>
          <w:b w:val="0"/>
          <w:bCs/>
          <w:color w:val="auto"/>
          <w:sz w:val="24"/>
          <w:szCs w:val="24"/>
          <w:highlight w:val="none"/>
        </w:rPr>
        <w:t>（六）起草评审报告并进行签署；</w:t>
      </w:r>
      <w:bookmarkEnd w:id="36"/>
    </w:p>
    <w:p w14:paraId="49C84D09">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37" w:name="_Toc508279848"/>
      <w:r>
        <w:rPr>
          <w:rFonts w:hint="eastAsia" w:ascii="宋体" w:hAnsi="宋体" w:eastAsia="宋体" w:cs="宋体"/>
          <w:b w:val="0"/>
          <w:bCs/>
          <w:color w:val="auto"/>
          <w:sz w:val="24"/>
          <w:szCs w:val="24"/>
          <w:highlight w:val="none"/>
        </w:rPr>
        <w:t>（七）向采购人或者其他监督部门报告非法干预评审工作的行为；</w:t>
      </w:r>
      <w:bookmarkEnd w:id="37"/>
    </w:p>
    <w:p w14:paraId="05B64AE0">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38" w:name="_Toc508279849"/>
      <w:r>
        <w:rPr>
          <w:rFonts w:hint="eastAsia" w:ascii="宋体" w:hAnsi="宋体" w:eastAsia="宋体" w:cs="宋体"/>
          <w:b w:val="0"/>
          <w:bCs/>
          <w:color w:val="auto"/>
          <w:sz w:val="24"/>
          <w:szCs w:val="24"/>
          <w:highlight w:val="none"/>
        </w:rPr>
        <w:t>（八）法律、法规和规章规定的其他职责。</w:t>
      </w:r>
      <w:bookmarkEnd w:id="38"/>
    </w:p>
    <w:p w14:paraId="14C57C77">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39" w:name="_Toc508279850"/>
      <w:r>
        <w:rPr>
          <w:rFonts w:hint="eastAsia" w:ascii="宋体" w:hAnsi="宋体" w:eastAsia="宋体" w:cs="宋体"/>
          <w:b w:val="0"/>
          <w:bCs/>
          <w:color w:val="auto"/>
          <w:sz w:val="24"/>
          <w:szCs w:val="24"/>
          <w:highlight w:val="none"/>
        </w:rPr>
        <w:t>1.5 （实质性要求）谈判过程应独立、保密。供应商非法干预谈判过程的，其响应文件作为无效处理。</w:t>
      </w:r>
      <w:bookmarkEnd w:id="39"/>
    </w:p>
    <w:p w14:paraId="1E294FA7">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color w:val="auto"/>
          <w:sz w:val="24"/>
          <w:szCs w:val="24"/>
          <w:highlight w:val="none"/>
        </w:rPr>
      </w:pPr>
      <w:bookmarkStart w:id="40" w:name="_Toc508279851"/>
      <w:r>
        <w:rPr>
          <w:rFonts w:hint="eastAsia" w:ascii="宋体" w:hAnsi="宋体" w:eastAsia="宋体" w:cs="宋体"/>
          <w:b w:val="0"/>
          <w:bCs/>
          <w:color w:val="auto"/>
          <w:sz w:val="24"/>
          <w:szCs w:val="24"/>
          <w:highlight w:val="none"/>
        </w:rPr>
        <w:t>1.6 谈判小组评价响应文件，除谈判小组要求其澄清、说明或者纠正而提供的资料外，仅依据响应文件本身的内容，不寻求供应商提供其他外部证据。</w:t>
      </w:r>
      <w:bookmarkEnd w:id="40"/>
      <w:bookmarkStart w:id="41" w:name="_Toc508279852"/>
    </w:p>
    <w:p w14:paraId="12351965">
      <w:pPr>
        <w:pStyle w:val="3"/>
        <w:keepNext w:val="0"/>
        <w:keepLines w:val="0"/>
        <w:pageBreakBefore w:val="0"/>
        <w:widowControl w:val="0"/>
        <w:kinsoku/>
        <w:wordWrap/>
        <w:overflowPunct/>
        <w:topLinePunct w:val="0"/>
        <w:autoSpaceDE/>
        <w:autoSpaceDN/>
        <w:bidi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End w:id="41"/>
      <w:r>
        <w:rPr>
          <w:rFonts w:hint="eastAsia" w:ascii="宋体" w:hAnsi="宋体" w:eastAsia="宋体" w:cs="宋体"/>
          <w:color w:val="auto"/>
          <w:sz w:val="24"/>
          <w:szCs w:val="24"/>
          <w:highlight w:val="none"/>
        </w:rPr>
        <w:t>评审程序、评审方法、评审标准</w:t>
      </w:r>
    </w:p>
    <w:p w14:paraId="3BF2C56E">
      <w:pPr>
        <w:keepNext w:val="0"/>
        <w:keepLines w:val="0"/>
        <w:pageBreakBefore w:val="0"/>
        <w:widowControl w:val="0"/>
        <w:kinsoku/>
        <w:wordWrap/>
        <w:overflowPunct/>
        <w:topLinePunct w:val="0"/>
        <w:autoSpaceDE/>
        <w:autoSpaceDN/>
        <w:bidi w:val="0"/>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42" w:name="_Toc508279853"/>
      <w:r>
        <w:rPr>
          <w:rFonts w:hint="eastAsia" w:ascii="宋体" w:hAnsi="宋体" w:eastAsia="宋体" w:cs="宋体"/>
          <w:b w:val="0"/>
          <w:bCs/>
          <w:color w:val="auto"/>
          <w:sz w:val="24"/>
          <w:szCs w:val="24"/>
          <w:highlight w:val="none"/>
        </w:rPr>
        <w:t>2.1熟悉和理解谈判文件和停止评审。</w:t>
      </w:r>
      <w:bookmarkEnd w:id="42"/>
    </w:p>
    <w:p w14:paraId="6DF5F7AC">
      <w:pPr>
        <w:keepNext w:val="0"/>
        <w:keepLines w:val="0"/>
        <w:pageBreakBefore w:val="0"/>
        <w:widowControl w:val="0"/>
        <w:kinsoku/>
        <w:wordWrap/>
        <w:overflowPunct/>
        <w:topLinePunct w:val="0"/>
        <w:autoSpaceDE/>
        <w:autoSpaceDN/>
        <w:bidi w:val="0"/>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43" w:name="_Toc508279854"/>
      <w:r>
        <w:rPr>
          <w:rFonts w:hint="eastAsia" w:ascii="宋体" w:hAnsi="宋体" w:eastAsia="宋体" w:cs="宋体"/>
          <w:b w:val="0"/>
          <w:bCs/>
          <w:color w:val="auto"/>
          <w:sz w:val="24"/>
          <w:szCs w:val="24"/>
          <w:highlight w:val="none"/>
        </w:rPr>
        <w:t>2.1.1 谈判小组正式评审前，应当对谈判文件进行熟悉和理解，内容主要包括谈判文件中供应商资格条件要求、采购项目技术、服务和商务要求、评审方法和标准、采购政策要求以及采购合同主要条款等。</w:t>
      </w:r>
      <w:bookmarkEnd w:id="43"/>
    </w:p>
    <w:p w14:paraId="35A33B05">
      <w:pPr>
        <w:keepNext w:val="0"/>
        <w:keepLines w:val="0"/>
        <w:pageBreakBefore w:val="0"/>
        <w:widowControl w:val="0"/>
        <w:kinsoku/>
        <w:wordWrap/>
        <w:overflowPunct/>
        <w:topLinePunct w:val="0"/>
        <w:autoSpaceDE/>
        <w:autoSpaceDN/>
        <w:bidi w:val="0"/>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44" w:name="_Toc508279855"/>
      <w:r>
        <w:rPr>
          <w:rFonts w:hint="eastAsia" w:ascii="宋体" w:hAnsi="宋体" w:eastAsia="宋体" w:cs="宋体"/>
          <w:b w:val="0"/>
          <w:bCs/>
          <w:color w:val="auto"/>
          <w:sz w:val="24"/>
          <w:szCs w:val="24"/>
          <w:highlight w:val="none"/>
        </w:rPr>
        <w:t>2.1.2 本谈判文件有下列情形之一的，谈判小组应当停止评审：</w:t>
      </w:r>
      <w:bookmarkEnd w:id="44"/>
    </w:p>
    <w:p w14:paraId="4A55A7D4">
      <w:pPr>
        <w:keepNext w:val="0"/>
        <w:keepLines w:val="0"/>
        <w:pageBreakBefore w:val="0"/>
        <w:widowControl w:val="0"/>
        <w:kinsoku/>
        <w:wordWrap/>
        <w:overflowPunct/>
        <w:topLinePunct w:val="0"/>
        <w:autoSpaceDE/>
        <w:autoSpaceDN/>
        <w:bidi w:val="0"/>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45" w:name="_Toc508279856"/>
      <w:r>
        <w:rPr>
          <w:rFonts w:hint="eastAsia" w:ascii="宋体" w:hAnsi="宋体" w:eastAsia="宋体" w:cs="宋体"/>
          <w:b w:val="0"/>
          <w:bCs/>
          <w:color w:val="auto"/>
          <w:sz w:val="24"/>
          <w:szCs w:val="24"/>
          <w:highlight w:val="none"/>
        </w:rPr>
        <w:t>（1）谈判文件的规定存在歧义、重大缺陷的；</w:t>
      </w:r>
      <w:bookmarkEnd w:id="45"/>
    </w:p>
    <w:p w14:paraId="5F839A7D">
      <w:pPr>
        <w:keepNext w:val="0"/>
        <w:keepLines w:val="0"/>
        <w:pageBreakBefore w:val="0"/>
        <w:widowControl w:val="0"/>
        <w:kinsoku/>
        <w:wordWrap/>
        <w:overflowPunct/>
        <w:topLinePunct w:val="0"/>
        <w:autoSpaceDE/>
        <w:autoSpaceDN/>
        <w:bidi w:val="0"/>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46" w:name="_Toc508279857"/>
      <w:r>
        <w:rPr>
          <w:rFonts w:hint="eastAsia" w:ascii="宋体" w:hAnsi="宋体" w:eastAsia="宋体" w:cs="宋体"/>
          <w:b w:val="0"/>
          <w:bCs/>
          <w:color w:val="auto"/>
          <w:sz w:val="24"/>
          <w:szCs w:val="24"/>
          <w:highlight w:val="none"/>
        </w:rPr>
        <w:t>（2）谈判文件明显以不合理条件对供应商实行差别待遇或者歧视待遇的；</w:t>
      </w:r>
      <w:bookmarkEnd w:id="46"/>
    </w:p>
    <w:p w14:paraId="07DF9CDF">
      <w:pPr>
        <w:keepNext w:val="0"/>
        <w:keepLines w:val="0"/>
        <w:pageBreakBefore w:val="0"/>
        <w:widowControl w:val="0"/>
        <w:kinsoku/>
        <w:wordWrap/>
        <w:overflowPunct/>
        <w:topLinePunct w:val="0"/>
        <w:autoSpaceDE/>
        <w:autoSpaceDN/>
        <w:bidi w:val="0"/>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47" w:name="_Toc508279860"/>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）谈判文件载明的成交原则不合法的；</w:t>
      </w:r>
      <w:bookmarkEnd w:id="47"/>
    </w:p>
    <w:p w14:paraId="1796FB07">
      <w:pPr>
        <w:keepNext w:val="0"/>
        <w:keepLines w:val="0"/>
        <w:pageBreakBefore w:val="0"/>
        <w:widowControl w:val="0"/>
        <w:kinsoku/>
        <w:wordWrap/>
        <w:overflowPunct/>
        <w:topLinePunct w:val="0"/>
        <w:autoSpaceDE/>
        <w:autoSpaceDN/>
        <w:bidi w:val="0"/>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48" w:name="_Toc508279861"/>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）谈判文件有违反国家其他有关强制性规定的情形。</w:t>
      </w:r>
      <w:bookmarkEnd w:id="48"/>
    </w:p>
    <w:p w14:paraId="6D6312A2">
      <w:pPr>
        <w:keepNext w:val="0"/>
        <w:keepLines w:val="0"/>
        <w:pageBreakBefore w:val="0"/>
        <w:widowControl w:val="0"/>
        <w:kinsoku/>
        <w:wordWrap/>
        <w:overflowPunct/>
        <w:topLinePunct w:val="0"/>
        <w:autoSpaceDE/>
        <w:autoSpaceDN/>
        <w:bidi w:val="0"/>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49" w:name="_Toc508279862"/>
      <w:r>
        <w:rPr>
          <w:rFonts w:hint="eastAsia" w:ascii="宋体" w:hAnsi="宋体" w:eastAsia="宋体" w:cs="宋体"/>
          <w:b w:val="0"/>
          <w:bCs/>
          <w:color w:val="auto"/>
          <w:sz w:val="24"/>
          <w:szCs w:val="24"/>
          <w:highlight w:val="none"/>
        </w:rPr>
        <w:t>2.1.</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 xml:space="preserve"> 出现本条2.1.2规定应当停止评审情形的，谈判小组应当向采购人书面说明情况。除本条规定的情形外，谈判小组不得以任何方式和理由停止评审。</w:t>
      </w:r>
      <w:bookmarkEnd w:id="49"/>
    </w:p>
    <w:p w14:paraId="3689E702">
      <w:pPr>
        <w:keepNext w:val="0"/>
        <w:keepLines w:val="0"/>
        <w:pageBreakBefore w:val="0"/>
        <w:widowControl w:val="0"/>
        <w:kinsoku/>
        <w:wordWrap/>
        <w:overflowPunct/>
        <w:topLinePunct w:val="0"/>
        <w:autoSpaceDE/>
        <w:autoSpaceDN/>
        <w:bidi w:val="0"/>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50" w:name="_Toc508279863"/>
      <w:r>
        <w:rPr>
          <w:rFonts w:hint="eastAsia" w:ascii="宋体" w:hAnsi="宋体" w:eastAsia="宋体" w:cs="宋体"/>
          <w:b w:val="0"/>
          <w:bCs/>
          <w:color w:val="auto"/>
          <w:sz w:val="24"/>
          <w:szCs w:val="24"/>
          <w:highlight w:val="none"/>
        </w:rPr>
        <w:t>2.2 资格性审查。</w:t>
      </w:r>
      <w:bookmarkEnd w:id="50"/>
    </w:p>
    <w:p w14:paraId="784E04E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本项目需要谈判小组进行资格性检查。</w:t>
      </w:r>
    </w:p>
    <w:p w14:paraId="711A23FC">
      <w:pPr>
        <w:keepNext w:val="0"/>
        <w:keepLines w:val="0"/>
        <w:pageBreakBefore w:val="0"/>
        <w:widowControl w:val="0"/>
        <w:kinsoku/>
        <w:wordWrap/>
        <w:overflowPunct/>
        <w:topLinePunct w:val="0"/>
        <w:autoSpaceDE/>
        <w:autoSpaceDN/>
        <w:bidi w:val="0"/>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51" w:name="_Toc508279864"/>
      <w:r>
        <w:rPr>
          <w:rFonts w:hint="eastAsia" w:ascii="宋体" w:hAnsi="宋体" w:eastAsia="宋体" w:cs="宋体"/>
          <w:b w:val="0"/>
          <w:bCs/>
          <w:color w:val="auto"/>
          <w:sz w:val="24"/>
          <w:szCs w:val="24"/>
          <w:highlight w:val="none"/>
        </w:rPr>
        <w:t>2.2.1谈判小组应依据法律法规和谈判文件的规定，对响应文件是否按照规定要求提供资格性证明材料、是否属于禁止参加谈判的供应商等进行审查，以确定供应商是否具备谈判资格。</w:t>
      </w:r>
      <w:bookmarkEnd w:id="51"/>
    </w:p>
    <w:p w14:paraId="406B5715">
      <w:pPr>
        <w:keepNext w:val="0"/>
        <w:keepLines w:val="0"/>
        <w:pageBreakBefore w:val="0"/>
        <w:widowControl w:val="0"/>
        <w:kinsoku/>
        <w:wordWrap/>
        <w:overflowPunct/>
        <w:topLinePunct w:val="0"/>
        <w:autoSpaceDE/>
        <w:autoSpaceDN/>
        <w:bidi w:val="0"/>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52" w:name="_Toc508279865"/>
      <w:r>
        <w:rPr>
          <w:rFonts w:hint="eastAsia" w:ascii="宋体" w:hAnsi="宋体" w:eastAsia="宋体" w:cs="宋体"/>
          <w:b w:val="0"/>
          <w:bCs/>
          <w:color w:val="auto"/>
          <w:sz w:val="24"/>
          <w:szCs w:val="24"/>
          <w:highlight w:val="none"/>
        </w:rPr>
        <w:t>2.2.2资格性审查结束后，谈判小组应当出具资格性审查报告，没有通过资格审查的供应商，谈判小组应当在资格审查报告中说明原因。</w:t>
      </w:r>
      <w:bookmarkEnd w:id="52"/>
    </w:p>
    <w:p w14:paraId="01F3583C">
      <w:pPr>
        <w:keepNext w:val="0"/>
        <w:keepLines w:val="0"/>
        <w:pageBreakBefore w:val="0"/>
        <w:widowControl w:val="0"/>
        <w:kinsoku/>
        <w:wordWrap/>
        <w:overflowPunct/>
        <w:topLinePunct w:val="0"/>
        <w:autoSpaceDE/>
        <w:autoSpaceDN/>
        <w:bidi w:val="0"/>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53" w:name="_Toc508279866"/>
      <w:r>
        <w:rPr>
          <w:rFonts w:hint="eastAsia" w:ascii="宋体" w:hAnsi="宋体" w:eastAsia="宋体" w:cs="宋体"/>
          <w:b w:val="0"/>
          <w:bCs/>
          <w:color w:val="auto"/>
          <w:sz w:val="24"/>
          <w:szCs w:val="24"/>
          <w:highlight w:val="none"/>
        </w:rPr>
        <w:t>2.2.3谈判小组应依据谈判文件规定的所有实质性要求，对符合资格的响应文件进行有效性、完整性和响应程度审查，以确定参加谈判的供应商名单。</w:t>
      </w:r>
      <w:bookmarkEnd w:id="53"/>
    </w:p>
    <w:p w14:paraId="1994AB29">
      <w:pPr>
        <w:keepNext w:val="0"/>
        <w:keepLines w:val="0"/>
        <w:pageBreakBefore w:val="0"/>
        <w:widowControl w:val="0"/>
        <w:kinsoku/>
        <w:wordWrap/>
        <w:overflowPunct/>
        <w:topLinePunct w:val="0"/>
        <w:autoSpaceDE/>
        <w:autoSpaceDN/>
        <w:bidi w:val="0"/>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54" w:name="_Toc508279867"/>
      <w:r>
        <w:rPr>
          <w:rFonts w:hint="eastAsia" w:ascii="宋体" w:hAnsi="宋体" w:eastAsia="宋体" w:cs="宋体"/>
          <w:b w:val="0"/>
          <w:bCs/>
          <w:color w:val="auto"/>
          <w:sz w:val="24"/>
          <w:szCs w:val="24"/>
          <w:highlight w:val="none"/>
        </w:rPr>
        <w:t>2.2.4</w:t>
      </w:r>
      <w:r>
        <w:rPr>
          <w:rFonts w:hint="eastAsia" w:ascii="宋体" w:hAnsi="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宣布未通过资格性审查的供应商名单时，应当告知供应商未通过审查的原因。</w:t>
      </w:r>
      <w:bookmarkEnd w:id="54"/>
    </w:p>
    <w:p w14:paraId="03AB37AE">
      <w:pPr>
        <w:keepNext w:val="0"/>
        <w:keepLines w:val="0"/>
        <w:pageBreakBefore w:val="0"/>
        <w:widowControl w:val="0"/>
        <w:kinsoku/>
        <w:wordWrap/>
        <w:overflowPunct/>
        <w:topLinePunct w:val="0"/>
        <w:autoSpaceDE/>
        <w:autoSpaceDN/>
        <w:bidi w:val="0"/>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55" w:name="_Toc508279868"/>
      <w:r>
        <w:rPr>
          <w:rFonts w:hint="eastAsia" w:ascii="宋体" w:hAnsi="宋体" w:eastAsia="宋体" w:cs="宋体"/>
          <w:b w:val="0"/>
          <w:bCs/>
          <w:color w:val="auto"/>
          <w:sz w:val="24"/>
          <w:szCs w:val="24"/>
          <w:highlight w:val="none"/>
        </w:rPr>
        <w:t>2.3通过资格性审查的供应商不足</w:t>
      </w:r>
      <w:r>
        <w:rPr>
          <w:rFonts w:hint="eastAsia" w:ascii="宋体" w:hAnsi="宋体" w:eastAsia="宋体" w:cs="宋体"/>
          <w:b w:val="0"/>
          <w:bCs/>
          <w:color w:val="auto"/>
          <w:sz w:val="24"/>
          <w:highlight w:val="none"/>
        </w:rPr>
        <w:t>3</w:t>
      </w:r>
      <w:r>
        <w:rPr>
          <w:rFonts w:hint="eastAsia" w:ascii="宋体" w:hAnsi="宋体" w:eastAsia="宋体" w:cs="宋体"/>
          <w:b w:val="0"/>
          <w:bCs/>
          <w:color w:val="auto"/>
          <w:sz w:val="24"/>
          <w:szCs w:val="24"/>
          <w:highlight w:val="none"/>
        </w:rPr>
        <w:t>家的，终止本次采购活动，并发布终止采购活动公告。</w:t>
      </w:r>
      <w:bookmarkEnd w:id="55"/>
    </w:p>
    <w:p w14:paraId="32FD4C80">
      <w:pPr>
        <w:keepNext w:val="0"/>
        <w:keepLines w:val="0"/>
        <w:pageBreakBefore w:val="0"/>
        <w:widowControl w:val="0"/>
        <w:kinsoku/>
        <w:wordWrap/>
        <w:overflowPunct/>
        <w:topLinePunct w:val="0"/>
        <w:autoSpaceDE/>
        <w:autoSpaceDN/>
        <w:bidi w:val="0"/>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56" w:name="_Toc508279869"/>
      <w:r>
        <w:rPr>
          <w:rFonts w:hint="eastAsia" w:ascii="宋体" w:hAnsi="宋体" w:eastAsia="宋体" w:cs="宋体"/>
          <w:b w:val="0"/>
          <w:bCs/>
          <w:color w:val="auto"/>
          <w:sz w:val="24"/>
          <w:szCs w:val="24"/>
          <w:highlight w:val="none"/>
        </w:rPr>
        <w:t>2.4 谈判</w:t>
      </w:r>
      <w:bookmarkEnd w:id="56"/>
    </w:p>
    <w:p w14:paraId="307A0948">
      <w:pPr>
        <w:keepNext w:val="0"/>
        <w:keepLines w:val="0"/>
        <w:pageBreakBefore w:val="0"/>
        <w:widowControl w:val="0"/>
        <w:kinsoku/>
        <w:wordWrap/>
        <w:overflowPunct/>
        <w:topLinePunct w:val="0"/>
        <w:autoSpaceDE/>
        <w:autoSpaceDN/>
        <w:bidi w:val="0"/>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57" w:name="_Toc508279870"/>
      <w:r>
        <w:rPr>
          <w:rFonts w:hint="eastAsia" w:ascii="宋体" w:hAnsi="宋体" w:eastAsia="宋体" w:cs="宋体"/>
          <w:b w:val="0"/>
          <w:bCs/>
          <w:color w:val="auto"/>
          <w:sz w:val="24"/>
          <w:szCs w:val="24"/>
          <w:highlight w:val="none"/>
        </w:rPr>
        <w:t>2.4.1谈判小组所有成员集中与单一供应商分别进行一轮或多轮谈判，并给予所有参加谈判的供应商平等的谈判机会。谈判顺序以现场抽签的方式确定。谈判过程中，谈判小组可以根据谈判情况调整谈判轮次。</w:t>
      </w:r>
      <w:bookmarkEnd w:id="57"/>
    </w:p>
    <w:p w14:paraId="23340675">
      <w:pPr>
        <w:keepNext w:val="0"/>
        <w:keepLines w:val="0"/>
        <w:pageBreakBefore w:val="0"/>
        <w:widowControl w:val="0"/>
        <w:kinsoku/>
        <w:wordWrap/>
        <w:overflowPunct/>
        <w:topLinePunct w:val="0"/>
        <w:autoSpaceDE/>
        <w:autoSpaceDN/>
        <w:bidi w:val="0"/>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58" w:name="_Toc508279871"/>
      <w:r>
        <w:rPr>
          <w:rFonts w:hint="eastAsia" w:ascii="宋体" w:hAnsi="宋体" w:eastAsia="宋体" w:cs="宋体"/>
          <w:b w:val="0"/>
          <w:bCs/>
          <w:color w:val="auto"/>
          <w:sz w:val="24"/>
          <w:szCs w:val="24"/>
          <w:highlight w:val="none"/>
        </w:rPr>
        <w:t>2.4.2每轮谈判开始前，谈判小组应根据谈判文件的规定，并结合各供应商的响应文件拟定谈判内容。</w:t>
      </w:r>
      <w:bookmarkEnd w:id="58"/>
    </w:p>
    <w:p w14:paraId="79D3D30B">
      <w:pPr>
        <w:keepNext w:val="0"/>
        <w:keepLines w:val="0"/>
        <w:pageBreakBefore w:val="0"/>
        <w:widowControl w:val="0"/>
        <w:kinsoku/>
        <w:wordWrap/>
        <w:overflowPunct/>
        <w:topLinePunct w:val="0"/>
        <w:autoSpaceDE/>
        <w:autoSpaceDN/>
        <w:bidi w:val="0"/>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59" w:name="_Toc508279872"/>
      <w:r>
        <w:rPr>
          <w:rFonts w:hint="eastAsia" w:ascii="宋体" w:hAnsi="宋体" w:eastAsia="宋体" w:cs="宋体"/>
          <w:b w:val="0"/>
          <w:bCs/>
          <w:color w:val="auto"/>
          <w:sz w:val="24"/>
          <w:szCs w:val="24"/>
          <w:highlight w:val="none"/>
        </w:rPr>
        <w:t>2.4.3在谈判过程中，谈判小组可以根据谈判文件和谈判情况实质性变动谈判文件的技术、服务要求以及合同草案条款，但不得变动谈判文件中的其他内容。实质性变动的内容，须经采购人代表书面确认。</w:t>
      </w:r>
      <w:bookmarkEnd w:id="59"/>
    </w:p>
    <w:p w14:paraId="04316112">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60" w:name="_Toc508279873"/>
      <w:r>
        <w:rPr>
          <w:rFonts w:hint="eastAsia" w:ascii="宋体" w:hAnsi="宋体" w:eastAsia="宋体" w:cs="宋体"/>
          <w:b w:val="0"/>
          <w:bCs/>
          <w:color w:val="auto"/>
          <w:sz w:val="24"/>
          <w:szCs w:val="24"/>
          <w:highlight w:val="none"/>
        </w:rPr>
        <w:t>2.4.4对谈判文件作出的实质性变动是谈判文件的有效组成部分，谈判小组应当及时以书面形式同时通知所有参加谈判的供应商。</w:t>
      </w:r>
      <w:bookmarkEnd w:id="60"/>
    </w:p>
    <w:p w14:paraId="26A9438E">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61" w:name="_Toc508279874"/>
      <w:r>
        <w:rPr>
          <w:rFonts w:hint="eastAsia" w:ascii="宋体" w:hAnsi="宋体" w:eastAsia="宋体" w:cs="宋体"/>
          <w:b w:val="0"/>
          <w:bCs/>
          <w:color w:val="auto"/>
          <w:sz w:val="24"/>
          <w:szCs w:val="24"/>
          <w:highlight w:val="none"/>
        </w:rPr>
        <w:t>2.4.5谈判过程中，谈判文件变动的，供应商应当按照谈判文件的变动情况和谈判小组的要求重新提交响应文件，并由其</w:t>
      </w:r>
      <w:r>
        <w:rPr>
          <w:rFonts w:hint="eastAsia" w:ascii="宋体" w:hAnsi="宋体" w:eastAsia="宋体" w:cs="宋体"/>
          <w:b w:val="0"/>
          <w:bCs/>
          <w:color w:val="auto"/>
          <w:sz w:val="24"/>
          <w:szCs w:val="24"/>
          <w:highlight w:val="none"/>
          <w:lang w:eastAsia="zh-CN"/>
        </w:rPr>
        <w:t>法定代表人（负责人）</w:t>
      </w:r>
      <w:r>
        <w:rPr>
          <w:rFonts w:hint="eastAsia" w:ascii="宋体" w:hAnsi="宋体" w:eastAsia="宋体" w:cs="宋体"/>
          <w:b w:val="0"/>
          <w:bCs/>
          <w:color w:val="auto"/>
          <w:sz w:val="24"/>
          <w:szCs w:val="24"/>
          <w:highlight w:val="none"/>
        </w:rPr>
        <w:t>/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bookmarkEnd w:id="61"/>
    </w:p>
    <w:p w14:paraId="29271A4C">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62" w:name="_Toc508279875"/>
      <w:r>
        <w:rPr>
          <w:rFonts w:hint="eastAsia" w:ascii="宋体" w:hAnsi="宋体" w:eastAsia="宋体" w:cs="宋体"/>
          <w:b w:val="0"/>
          <w:bCs/>
          <w:color w:val="auto"/>
          <w:sz w:val="24"/>
          <w:szCs w:val="24"/>
          <w:highlight w:val="none"/>
        </w:rPr>
        <w:t>2.4.6谈判过程中，谈判的任何一方不得透露与谈判有关的其他供应商的技术资料、价格和其他信息。</w:t>
      </w:r>
      <w:bookmarkEnd w:id="62"/>
    </w:p>
    <w:p w14:paraId="0E0E4B1B">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63" w:name="_Toc508279876"/>
      <w:r>
        <w:rPr>
          <w:rFonts w:hint="eastAsia" w:ascii="宋体" w:hAnsi="宋体" w:eastAsia="宋体" w:cs="宋体"/>
          <w:b w:val="0"/>
          <w:bCs/>
          <w:color w:val="auto"/>
          <w:sz w:val="24"/>
          <w:szCs w:val="24"/>
          <w:highlight w:val="none"/>
        </w:rPr>
        <w:t>2.4.7谈判过程中，谈判小组发现或者知晓供应商存在违法、违纪行为的，谈判小组应当将该供应商淘汰，不允许其提交最后报价。</w:t>
      </w:r>
      <w:bookmarkEnd w:id="63"/>
    </w:p>
    <w:p w14:paraId="112CD0A2">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bookmarkStart w:id="64" w:name="_Toc508279877"/>
      <w:r>
        <w:rPr>
          <w:rFonts w:hint="eastAsia" w:ascii="宋体" w:hAnsi="宋体" w:eastAsia="宋体" w:cs="宋体"/>
          <w:b w:val="0"/>
          <w:bCs/>
          <w:color w:val="auto"/>
          <w:sz w:val="24"/>
          <w:szCs w:val="24"/>
          <w:highlight w:val="none"/>
        </w:rPr>
        <w:t>2.4.8谈判完成后，谈判小组应出具谈判情况记录表，谈判情况记录表需包含谈判内容、谈判意见、实质性变动内容等。</w:t>
      </w:r>
      <w:bookmarkEnd w:id="64"/>
      <w:r>
        <w:rPr>
          <w:rFonts w:hint="eastAsia" w:ascii="宋体" w:hAnsi="宋体" w:eastAsia="宋体" w:cs="宋体"/>
          <w:b w:val="0"/>
          <w:bCs/>
          <w:color w:val="auto"/>
          <w:sz w:val="24"/>
          <w:szCs w:val="24"/>
          <w:highlight w:val="none"/>
        </w:rPr>
        <w:t xml:space="preserve">   </w:t>
      </w:r>
    </w:p>
    <w:p w14:paraId="729AB0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2.5最后报价。</w:t>
      </w:r>
    </w:p>
    <w:p w14:paraId="093D23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2.5.1谈判文件能够详细列明采购标的的技术、服务要求的，谈判结束后，谈判小组应当要求所有实质性响应的供应商在规定时间内提交最后报价，提交最后报价的供应商不得少于3家。或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7D6538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2.5.2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14:paraId="6809C71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2.5.3供应商最后报价应当由</w:t>
      </w:r>
      <w:r>
        <w:rPr>
          <w:rFonts w:hint="eastAsia" w:ascii="宋体" w:hAnsi="宋体" w:eastAsia="宋体" w:cs="宋体"/>
          <w:b w:val="0"/>
          <w:bCs/>
          <w:color w:val="auto"/>
          <w:sz w:val="24"/>
          <w:highlight w:val="none"/>
          <w:lang w:eastAsia="zh-CN"/>
        </w:rPr>
        <w:t>法定代表人（负责人）</w:t>
      </w:r>
      <w:r>
        <w:rPr>
          <w:rFonts w:hint="eastAsia" w:ascii="宋体" w:hAnsi="宋体" w:eastAsia="宋体" w:cs="宋体"/>
          <w:b w:val="0"/>
          <w:bCs/>
          <w:color w:val="auto"/>
          <w:sz w:val="24"/>
          <w:highlight w:val="none"/>
        </w:rPr>
        <w:t>/主要负责人/本人或其授权代表签字确认或加盖公章。最后报价是供应商响应文件的有效组成部分。</w:t>
      </w:r>
    </w:p>
    <w:p w14:paraId="3ADE488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49F5205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2.6 谈判小组复核。供应商最后报价结束后，谈判小组应当进行评审复核，对拟推荐为成交候选供应商的、报价最低的、供应商资格审查未通过的、供应商响应文件作无效处理的重点复核。</w:t>
      </w:r>
    </w:p>
    <w:p w14:paraId="7A3B0721">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2.7推荐成交候选供应商。谈判小组复核后，应当按照供应商的报价由低到高顺序推荐</w:t>
      </w:r>
      <w:r>
        <w:rPr>
          <w:rFonts w:hint="eastAsia" w:ascii="宋体" w:hAnsi="宋体" w:eastAsia="宋体" w:cs="宋体"/>
          <w:b w:val="0"/>
          <w:bCs/>
          <w:color w:val="auto"/>
          <w:sz w:val="24"/>
          <w:highlight w:val="none"/>
          <w:lang w:eastAsia="zh-CN"/>
        </w:rPr>
        <w:t>三</w:t>
      </w:r>
      <w:r>
        <w:rPr>
          <w:rFonts w:hint="eastAsia" w:ascii="宋体" w:hAnsi="宋体" w:eastAsia="宋体" w:cs="宋体"/>
          <w:b w:val="0"/>
          <w:bCs/>
          <w:color w:val="auto"/>
          <w:sz w:val="24"/>
          <w:highlight w:val="none"/>
        </w:rPr>
        <w:t>家以上成交候选供应商，并编写谈判报告。供应商报价相同的，</w:t>
      </w:r>
      <w:r>
        <w:rPr>
          <w:rFonts w:hint="eastAsia" w:ascii="宋体" w:hAnsi="宋体" w:eastAsia="宋体" w:cs="宋体"/>
          <w:b w:val="0"/>
          <w:bCs/>
          <w:color w:val="auto"/>
          <w:sz w:val="24"/>
          <w:highlight w:val="none"/>
          <w:lang w:val="en-US" w:eastAsia="zh-CN"/>
        </w:rPr>
        <w:t>优先选择不发达地区或少数民族地区的供应商。供应商报价相同的，且均提供以上优先项的，</w:t>
      </w:r>
      <w:r>
        <w:rPr>
          <w:rFonts w:hint="eastAsia" w:ascii="宋体" w:hAnsi="宋体" w:eastAsia="宋体" w:cs="宋体"/>
          <w:b w:val="0"/>
          <w:bCs/>
          <w:color w:val="auto"/>
          <w:sz w:val="24"/>
          <w:highlight w:val="none"/>
        </w:rPr>
        <w:t>由采购人自主采取公平</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择优的方式选择成交</w:t>
      </w:r>
      <w:r>
        <w:rPr>
          <w:rFonts w:hint="eastAsia" w:ascii="宋体" w:hAnsi="宋体" w:eastAsia="宋体" w:cs="宋体"/>
          <w:b w:val="0"/>
          <w:bCs/>
          <w:color w:val="auto"/>
          <w:sz w:val="24"/>
          <w:highlight w:val="none"/>
          <w:lang w:eastAsia="zh-CN"/>
        </w:rPr>
        <w:t>候选人</w:t>
      </w:r>
      <w:r>
        <w:rPr>
          <w:rFonts w:hint="eastAsia" w:ascii="宋体" w:hAnsi="宋体" w:eastAsia="宋体" w:cs="宋体"/>
          <w:b w:val="0"/>
          <w:bCs/>
          <w:color w:val="auto"/>
          <w:sz w:val="24"/>
          <w:highlight w:val="none"/>
          <w:lang w:val="en-US" w:eastAsia="zh-CN"/>
        </w:rPr>
        <w:t>。（</w:t>
      </w:r>
      <w:r>
        <w:rPr>
          <w:rFonts w:hint="eastAsia" w:ascii="宋体" w:hAnsi="宋体" w:eastAsia="宋体" w:cs="宋体"/>
          <w:b w:val="0"/>
          <w:bCs/>
          <w:color w:val="auto"/>
          <w:sz w:val="24"/>
          <w:highlight w:val="none"/>
        </w:rPr>
        <w:t>不发达地区的</w:t>
      </w:r>
      <w:r>
        <w:rPr>
          <w:rFonts w:hint="eastAsia" w:ascii="宋体" w:hAnsi="宋体" w:eastAsia="宋体" w:cs="宋体"/>
          <w:b w:val="0"/>
          <w:bCs/>
          <w:color w:val="auto"/>
          <w:sz w:val="24"/>
          <w:highlight w:val="none"/>
          <w:lang w:eastAsia="zh-CN"/>
        </w:rPr>
        <w:t>供应商</w:t>
      </w:r>
      <w:r>
        <w:rPr>
          <w:rFonts w:hint="eastAsia" w:ascii="宋体" w:hAnsi="宋体" w:eastAsia="宋体" w:cs="宋体"/>
          <w:b w:val="0"/>
          <w:bCs/>
          <w:color w:val="auto"/>
          <w:sz w:val="24"/>
          <w:highlight w:val="none"/>
        </w:rPr>
        <w:t>需提供属于不发达地区的相关证明材料，少数民族地区提供相关证明材料或</w:t>
      </w:r>
      <w:r>
        <w:rPr>
          <w:rFonts w:hint="eastAsia" w:ascii="宋体" w:hAnsi="宋体" w:eastAsia="宋体" w:cs="宋体"/>
          <w:b w:val="0"/>
          <w:bCs/>
          <w:color w:val="auto"/>
          <w:sz w:val="24"/>
          <w:highlight w:val="none"/>
          <w:lang w:eastAsia="zh-CN"/>
        </w:rPr>
        <w:t>供应商</w:t>
      </w:r>
      <w:r>
        <w:rPr>
          <w:rFonts w:hint="eastAsia" w:ascii="宋体" w:hAnsi="宋体" w:eastAsia="宋体" w:cs="宋体"/>
          <w:b w:val="0"/>
          <w:bCs/>
          <w:color w:val="auto"/>
          <w:sz w:val="24"/>
          <w:highlight w:val="none"/>
        </w:rPr>
        <w:t>注册地为少数民族地区。）</w:t>
      </w:r>
    </w:p>
    <w:p w14:paraId="61809963">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2.8</w:t>
      </w:r>
      <w:r>
        <w:rPr>
          <w:rFonts w:hint="eastAsia" w:ascii="宋体" w:hAnsi="宋体" w:cs="宋体"/>
          <w:b w:val="0"/>
          <w:bCs/>
          <w:color w:val="auto"/>
          <w:sz w:val="24"/>
          <w:highlight w:val="none"/>
          <w:lang w:eastAsia="zh-CN"/>
        </w:rPr>
        <w:t>采购人</w:t>
      </w:r>
      <w:r>
        <w:rPr>
          <w:rFonts w:hint="eastAsia" w:ascii="宋体" w:hAnsi="宋体" w:eastAsia="宋体" w:cs="宋体"/>
          <w:b w:val="0"/>
          <w:bCs/>
          <w:color w:val="auto"/>
          <w:sz w:val="24"/>
          <w:highlight w:val="none"/>
        </w:rPr>
        <w:t>现场复核评审结果。</w:t>
      </w:r>
    </w:p>
    <w:p w14:paraId="3A59C376">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2.8.1推荐成交候选供应商后，谈判小组拟出具谈判报告前，</w:t>
      </w:r>
      <w:r>
        <w:rPr>
          <w:rFonts w:hint="eastAsia" w:ascii="宋体" w:hAnsi="宋体" w:cs="宋体"/>
          <w:b w:val="0"/>
          <w:bCs/>
          <w:color w:val="auto"/>
          <w:sz w:val="24"/>
          <w:highlight w:val="none"/>
          <w:lang w:eastAsia="zh-CN"/>
        </w:rPr>
        <w:t>采购人</w:t>
      </w:r>
      <w:r>
        <w:rPr>
          <w:rFonts w:hint="eastAsia" w:ascii="宋体" w:hAnsi="宋体" w:eastAsia="宋体" w:cs="宋体"/>
          <w:b w:val="0"/>
          <w:bCs/>
          <w:color w:val="auto"/>
          <w:sz w:val="24"/>
          <w:highlight w:val="none"/>
        </w:rPr>
        <w:t>应当组织2名以上的本单位工作人员，在采购现场监督人员的监督之下，依据有关的法律制度和谈判文件对评审结果进行复核，出具复核报告，存在资格性审查认定错误的，</w:t>
      </w:r>
      <w:r>
        <w:rPr>
          <w:rFonts w:hint="eastAsia" w:ascii="宋体" w:hAnsi="宋体" w:cs="宋体"/>
          <w:b w:val="0"/>
          <w:bCs/>
          <w:color w:val="auto"/>
          <w:sz w:val="24"/>
          <w:highlight w:val="none"/>
          <w:lang w:eastAsia="zh-CN"/>
        </w:rPr>
        <w:t>采购人</w:t>
      </w:r>
      <w:r>
        <w:rPr>
          <w:rFonts w:hint="eastAsia" w:ascii="宋体" w:hAnsi="宋体" w:eastAsia="宋体" w:cs="宋体"/>
          <w:b w:val="0"/>
          <w:bCs/>
          <w:color w:val="auto"/>
          <w:sz w:val="24"/>
          <w:highlight w:val="none"/>
        </w:rPr>
        <w:t>应当根据情况书面建议谈判小组现场修改评审结果。由谈判小组自主决定是否采纳</w:t>
      </w:r>
      <w:r>
        <w:rPr>
          <w:rFonts w:hint="eastAsia" w:ascii="宋体" w:hAnsi="宋体" w:cs="宋体"/>
          <w:b w:val="0"/>
          <w:bCs/>
          <w:color w:val="auto"/>
          <w:sz w:val="24"/>
          <w:highlight w:val="none"/>
          <w:lang w:eastAsia="zh-CN"/>
        </w:rPr>
        <w:t>采购人</w:t>
      </w:r>
      <w:r>
        <w:rPr>
          <w:rFonts w:hint="eastAsia" w:ascii="宋体" w:hAnsi="宋体" w:eastAsia="宋体" w:cs="宋体"/>
          <w:b w:val="0"/>
          <w:bCs/>
          <w:color w:val="auto"/>
          <w:sz w:val="24"/>
          <w:highlight w:val="none"/>
        </w:rPr>
        <w:t>的书面建议，并承担独立评审责任。谈判小组采纳</w:t>
      </w:r>
      <w:r>
        <w:rPr>
          <w:rFonts w:hint="eastAsia" w:ascii="宋体" w:hAnsi="宋体" w:cs="宋体"/>
          <w:b w:val="0"/>
          <w:bCs/>
          <w:color w:val="auto"/>
          <w:sz w:val="24"/>
          <w:highlight w:val="none"/>
          <w:lang w:eastAsia="zh-CN"/>
        </w:rPr>
        <w:t>采购人</w:t>
      </w:r>
      <w:r>
        <w:rPr>
          <w:rFonts w:hint="eastAsia" w:ascii="宋体" w:hAnsi="宋体" w:eastAsia="宋体" w:cs="宋体"/>
          <w:b w:val="0"/>
          <w:bCs/>
          <w:color w:val="auto"/>
          <w:sz w:val="24"/>
          <w:highlight w:val="none"/>
        </w:rPr>
        <w:t>书面建议的，应当按照规定现场修改评审结果或者重新评审，并在谈判报告中详细记载有关事宜；不采纳</w:t>
      </w:r>
      <w:r>
        <w:rPr>
          <w:rFonts w:hint="eastAsia" w:ascii="宋体" w:hAnsi="宋体" w:cs="宋体"/>
          <w:b w:val="0"/>
          <w:bCs/>
          <w:color w:val="auto"/>
          <w:sz w:val="24"/>
          <w:highlight w:val="none"/>
          <w:lang w:eastAsia="zh-CN"/>
        </w:rPr>
        <w:t>采购人</w:t>
      </w:r>
      <w:r>
        <w:rPr>
          <w:rFonts w:hint="eastAsia" w:ascii="宋体" w:hAnsi="宋体" w:eastAsia="宋体" w:cs="宋体"/>
          <w:b w:val="0"/>
          <w:bCs/>
          <w:color w:val="auto"/>
          <w:sz w:val="24"/>
          <w:highlight w:val="none"/>
        </w:rPr>
        <w:t>书面建议的，应当书面说明理由。</w:t>
      </w:r>
      <w:r>
        <w:rPr>
          <w:rFonts w:hint="eastAsia" w:ascii="宋体" w:hAnsi="宋体" w:cs="宋体"/>
          <w:b w:val="0"/>
          <w:bCs/>
          <w:color w:val="auto"/>
          <w:sz w:val="24"/>
          <w:highlight w:val="none"/>
          <w:lang w:eastAsia="zh-CN"/>
        </w:rPr>
        <w:t>采购人</w:t>
      </w:r>
      <w:r>
        <w:rPr>
          <w:rFonts w:hint="eastAsia" w:ascii="宋体" w:hAnsi="宋体" w:eastAsia="宋体" w:cs="宋体"/>
          <w:b w:val="0"/>
          <w:bCs/>
          <w:color w:val="auto"/>
          <w:sz w:val="24"/>
          <w:highlight w:val="none"/>
        </w:rPr>
        <w:t>书面建议未被谈判小组采纳的，应当</w:t>
      </w:r>
      <w:r>
        <w:rPr>
          <w:rFonts w:hint="eastAsia" w:ascii="宋体" w:hAnsi="宋体" w:eastAsia="宋体" w:cs="宋体"/>
          <w:b w:val="0"/>
          <w:bCs/>
          <w:color w:val="auto"/>
          <w:sz w:val="24"/>
          <w:highlight w:val="none"/>
          <w:lang w:eastAsia="zh-CN"/>
        </w:rPr>
        <w:t>按</w:t>
      </w:r>
      <w:r>
        <w:rPr>
          <w:rFonts w:hint="eastAsia" w:ascii="宋体" w:hAnsi="宋体" w:eastAsia="宋体" w:cs="宋体"/>
          <w:b w:val="0"/>
          <w:bCs/>
          <w:color w:val="auto"/>
          <w:sz w:val="24"/>
          <w:highlight w:val="none"/>
        </w:rPr>
        <w:t>照规定程序要求继续组织实施采购活动，不得擅自中止采购活动。</w:t>
      </w:r>
    </w:p>
    <w:p w14:paraId="6AFE710C">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eastAsia="zh-CN"/>
        </w:rPr>
        <w:t>采购人</w:t>
      </w:r>
      <w:r>
        <w:rPr>
          <w:rFonts w:hint="eastAsia" w:ascii="宋体" w:hAnsi="宋体" w:eastAsia="宋体" w:cs="宋体"/>
          <w:b w:val="0"/>
          <w:bCs/>
          <w:color w:val="auto"/>
          <w:sz w:val="24"/>
          <w:highlight w:val="none"/>
        </w:rPr>
        <w:t>复核过程中，谈判小组成员不得离开评审现场。</w:t>
      </w:r>
    </w:p>
    <w:p w14:paraId="5E378EB6">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2.8.2有下列情形之一的，不得现场修改评审结果：</w:t>
      </w:r>
    </w:p>
    <w:p w14:paraId="00B55DB2">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（1）谈判小组已经出具谈判报告并且离开评审现场的；</w:t>
      </w:r>
    </w:p>
    <w:p w14:paraId="4CCCB1F2">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w:t>
      </w:r>
      <w:r>
        <w:rPr>
          <w:rFonts w:hint="eastAsia" w:ascii="宋体" w:hAnsi="宋体" w:cs="宋体"/>
          <w:b w:val="0"/>
          <w:bCs/>
          <w:color w:val="auto"/>
          <w:sz w:val="24"/>
          <w:highlight w:val="none"/>
          <w:lang w:eastAsia="zh-CN"/>
        </w:rPr>
        <w:t>采购人</w:t>
      </w:r>
      <w:r>
        <w:rPr>
          <w:rFonts w:hint="eastAsia" w:ascii="宋体" w:hAnsi="宋体" w:eastAsia="宋体" w:cs="宋体"/>
          <w:b w:val="0"/>
          <w:bCs/>
          <w:color w:val="auto"/>
          <w:sz w:val="24"/>
          <w:highlight w:val="none"/>
        </w:rPr>
        <w:t>现场复核时，复核工作人员数量不足的；</w:t>
      </w:r>
    </w:p>
    <w:p w14:paraId="77D16931">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w:t>
      </w:r>
      <w:r>
        <w:rPr>
          <w:rFonts w:hint="eastAsia" w:ascii="宋体" w:hAnsi="宋体" w:cs="宋体"/>
          <w:b w:val="0"/>
          <w:bCs/>
          <w:color w:val="auto"/>
          <w:sz w:val="24"/>
          <w:highlight w:val="none"/>
          <w:lang w:eastAsia="zh-CN"/>
        </w:rPr>
        <w:t>采购人</w:t>
      </w:r>
      <w:r>
        <w:rPr>
          <w:rFonts w:hint="eastAsia" w:ascii="宋体" w:hAnsi="宋体" w:eastAsia="宋体" w:cs="宋体"/>
          <w:b w:val="0"/>
          <w:bCs/>
          <w:color w:val="auto"/>
          <w:sz w:val="24"/>
          <w:highlight w:val="none"/>
        </w:rPr>
        <w:t>现场复核时，没有采购监督人员现场监督的；</w:t>
      </w:r>
    </w:p>
    <w:p w14:paraId="76D1DFDE">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w:t>
      </w:r>
      <w:r>
        <w:rPr>
          <w:rFonts w:hint="eastAsia" w:ascii="宋体" w:hAnsi="宋体" w:cs="宋体"/>
          <w:b w:val="0"/>
          <w:bCs/>
          <w:color w:val="auto"/>
          <w:sz w:val="24"/>
          <w:highlight w:val="none"/>
          <w:lang w:eastAsia="zh-CN"/>
        </w:rPr>
        <w:t>采购人</w:t>
      </w:r>
      <w:r>
        <w:rPr>
          <w:rFonts w:hint="eastAsia" w:ascii="宋体" w:hAnsi="宋体" w:eastAsia="宋体" w:cs="宋体"/>
          <w:b w:val="0"/>
          <w:bCs/>
          <w:color w:val="auto"/>
          <w:sz w:val="24"/>
          <w:highlight w:val="none"/>
        </w:rPr>
        <w:t>现场复核内容超出规定范围的；</w:t>
      </w:r>
    </w:p>
    <w:p w14:paraId="74F05026">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w:t>
      </w:r>
      <w:r>
        <w:rPr>
          <w:rFonts w:hint="eastAsia" w:ascii="宋体" w:hAnsi="宋体" w:cs="宋体"/>
          <w:b w:val="0"/>
          <w:bCs/>
          <w:color w:val="auto"/>
          <w:sz w:val="24"/>
          <w:highlight w:val="none"/>
          <w:lang w:eastAsia="zh-CN"/>
        </w:rPr>
        <w:t>采购人</w:t>
      </w:r>
      <w:r>
        <w:rPr>
          <w:rFonts w:hint="eastAsia" w:ascii="宋体" w:hAnsi="宋体" w:eastAsia="宋体" w:cs="宋体"/>
          <w:b w:val="0"/>
          <w:bCs/>
          <w:color w:val="auto"/>
          <w:sz w:val="24"/>
          <w:highlight w:val="none"/>
        </w:rPr>
        <w:t>未提供书面建议的。</w:t>
      </w:r>
    </w:p>
    <w:p w14:paraId="7DDC5767">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2.9编写谈判报告。谈判小组推荐成交候选供应商后，应向</w:t>
      </w:r>
      <w:r>
        <w:rPr>
          <w:rFonts w:hint="eastAsia" w:ascii="宋体" w:hAnsi="宋体" w:cs="宋体"/>
          <w:b w:val="0"/>
          <w:bCs/>
          <w:color w:val="auto"/>
          <w:sz w:val="24"/>
          <w:highlight w:val="none"/>
          <w:lang w:eastAsia="zh-CN"/>
        </w:rPr>
        <w:t>采购人</w:t>
      </w:r>
      <w:r>
        <w:rPr>
          <w:rFonts w:hint="eastAsia" w:ascii="宋体" w:hAnsi="宋体" w:eastAsia="宋体" w:cs="宋体"/>
          <w:b w:val="0"/>
          <w:bCs/>
          <w:color w:val="auto"/>
          <w:sz w:val="24"/>
          <w:highlight w:val="none"/>
        </w:rPr>
        <w:t>出具谈判报告。谈判报告应当包括以下主要内容：</w:t>
      </w:r>
    </w:p>
    <w:p w14:paraId="534F1883">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（1）邀请供应商参加采购活动的具体方式和相关情况，以及参加采购活动的供应商名单；</w:t>
      </w:r>
    </w:p>
    <w:p w14:paraId="4E7CBA4D">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（2）评审日期和地点，谈判小组、谈判小组成员名单；</w:t>
      </w:r>
    </w:p>
    <w:p w14:paraId="2FE6E3E4">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（3）评审情况记录和说明，包括对供应商的资格审查情况、供应商响应文件审查情况、谈判情况、报价情况等；</w:t>
      </w:r>
    </w:p>
    <w:p w14:paraId="0EADC59B">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（4）推荐的成交候选人的名单及理由。</w:t>
      </w:r>
    </w:p>
    <w:p w14:paraId="5188890B">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10412940">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778AB8AA">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2.11供应商澄清、说明</w:t>
      </w:r>
    </w:p>
    <w:p w14:paraId="77615554">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D180375">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2.11.2谈判小组要求供应商澄清、说明或者更正响应文件应当以书面形式作出。供应商的澄清、说明或者更正应当由</w:t>
      </w:r>
      <w:r>
        <w:rPr>
          <w:rFonts w:hint="eastAsia" w:ascii="宋体" w:hAnsi="宋体" w:eastAsia="宋体" w:cs="宋体"/>
          <w:b w:val="0"/>
          <w:bCs/>
          <w:color w:val="auto"/>
          <w:sz w:val="24"/>
          <w:highlight w:val="none"/>
          <w:lang w:eastAsia="zh-CN"/>
        </w:rPr>
        <w:t>法定代表人（负责人）</w:t>
      </w:r>
      <w:r>
        <w:rPr>
          <w:rFonts w:hint="eastAsia" w:ascii="宋体" w:hAnsi="宋体" w:eastAsia="宋体" w:cs="宋体"/>
          <w:b w:val="0"/>
          <w:bCs/>
          <w:color w:val="auto"/>
          <w:sz w:val="24"/>
          <w:highlight w:val="none"/>
        </w:rPr>
        <w:t>/主要负责人/本人或其授权代表签字或者加盖公章。</w:t>
      </w:r>
    </w:p>
    <w:p w14:paraId="2C46FD50">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2.12终止谈判采购活动。</w:t>
      </w:r>
    </w:p>
    <w:p w14:paraId="1C187C90">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出现下列情形之一的，采购人应当终止竞争性谈判采购活动，发布项目终止公告并说明原因，重新开展采购活动：</w:t>
      </w:r>
    </w:p>
    <w:p w14:paraId="2857FE7A">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（1）因情况变化，不再符合规定的竞争性谈判采购方式适用情形的；</w:t>
      </w:r>
    </w:p>
    <w:p w14:paraId="1582C086">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（2）出现影响采购公正的违法、违规行为的；</w:t>
      </w:r>
    </w:p>
    <w:p w14:paraId="3D8FF7C9">
      <w:pPr>
        <w:keepNext w:val="0"/>
        <w:keepLines w:val="0"/>
        <w:pageBreakBefore w:val="0"/>
        <w:kinsoku/>
        <w:wordWrap/>
        <w:overflowPunct/>
        <w:topLinePunct w:val="0"/>
        <w:autoSpaceDE/>
        <w:autoSpaceDN/>
        <w:bidi w:val="0"/>
        <w:adjustRightInd/>
        <w:snapToGrid/>
        <w:spacing w:before="0" w:after="0" w:line="400" w:lineRule="exact"/>
        <w:ind w:firstLine="480" w:firstLineChars="200"/>
        <w:jc w:val="both"/>
        <w:textAlignment w:val="auto"/>
        <w:outlineLvl w:val="9"/>
        <w:rPr>
          <w:rFonts w:hint="eastAsia" w:ascii="宋体" w:hAnsi="宋体" w:eastAsia="宋体" w:cs="宋体"/>
          <w:b/>
          <w:color w:val="auto"/>
          <w:sz w:val="24"/>
          <w:szCs w:val="24"/>
          <w:highlight w:val="none"/>
        </w:rPr>
      </w:pPr>
      <w:bookmarkStart w:id="65" w:name="_Toc508279878"/>
      <w:r>
        <w:rPr>
          <w:rFonts w:hint="eastAsia" w:ascii="宋体" w:hAnsi="宋体" w:eastAsia="宋体" w:cs="宋体"/>
          <w:b w:val="0"/>
          <w:bCs/>
          <w:color w:val="auto"/>
          <w:sz w:val="24"/>
          <w:szCs w:val="24"/>
          <w:highlight w:val="none"/>
        </w:rPr>
        <w:t>（3）在采购过程中符合要求的供应商或者报价未超过采购预算的供应商不足3家的。</w:t>
      </w:r>
      <w:bookmarkEnd w:id="65"/>
    </w:p>
    <w:p w14:paraId="7B03713B">
      <w:pPr>
        <w:tabs>
          <w:tab w:val="left" w:pos="851"/>
        </w:tabs>
        <w:spacing w:line="400" w:lineRule="exact"/>
        <w:ind w:firstLine="482" w:firstLineChars="200"/>
        <w:outlineLvl w:val="9"/>
        <w:rPr>
          <w:rFonts w:hint="eastAsia" w:ascii="宋体" w:hAnsi="宋体" w:eastAsia="宋体" w:cs="宋体"/>
          <w:b/>
          <w:color w:val="auto"/>
          <w:sz w:val="24"/>
          <w:highlight w:val="none"/>
        </w:rPr>
      </w:pPr>
    </w:p>
    <w:p w14:paraId="4C1CEF1E">
      <w:pPr>
        <w:tabs>
          <w:tab w:val="left" w:pos="851"/>
        </w:tabs>
        <w:spacing w:line="400" w:lineRule="exact"/>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谈判纪律及注意事项</w:t>
      </w:r>
    </w:p>
    <w:p w14:paraId="5F5983B6">
      <w:pPr>
        <w:tabs>
          <w:tab w:val="left" w:pos="851"/>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3.1谈判小组内部讨论的情况和意见必须保密，任何人不得以任何形式透露给供应商或与供应商有关的单位或个人。</w:t>
      </w:r>
    </w:p>
    <w:p w14:paraId="35171D7B">
      <w:pPr>
        <w:tabs>
          <w:tab w:val="left" w:pos="851"/>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3.2在谈判过程中，供应商不得以任何形式对谈判小组成员进行旨在影响谈判结果的私下接触，否则将取消其参与谈判的资格。</w:t>
      </w:r>
    </w:p>
    <w:p w14:paraId="1E96101B">
      <w:pPr>
        <w:tabs>
          <w:tab w:val="left" w:pos="851"/>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3.3对各供应商的商业秘密，谈判小组成员应予以保密，不得泄露给其他供应商。</w:t>
      </w:r>
    </w:p>
    <w:p w14:paraId="1F63EB36">
      <w:pPr>
        <w:tabs>
          <w:tab w:val="left" w:pos="851"/>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3.4谈判小组独立评判，推荐成交候选人，并写出书面报告。</w:t>
      </w:r>
    </w:p>
    <w:p w14:paraId="0CA5B27E">
      <w:pPr>
        <w:tabs>
          <w:tab w:val="left" w:pos="851"/>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3.5谈判小组可根据需要对供应商进行实地考察。</w:t>
      </w:r>
    </w:p>
    <w:p w14:paraId="33A5DEE8">
      <w:pPr>
        <w:spacing w:line="400" w:lineRule="exact"/>
        <w:rPr>
          <w:rFonts w:hint="eastAsia" w:ascii="宋体" w:hAnsi="宋体" w:eastAsia="宋体" w:cs="宋体"/>
          <w:color w:val="auto"/>
          <w:highlight w:val="none"/>
        </w:rPr>
      </w:pPr>
    </w:p>
    <w:p w14:paraId="6096AE50">
      <w:pPr>
        <w:pStyle w:val="3"/>
        <w:keepNext w:val="0"/>
        <w:keepLines w:val="0"/>
        <w:pageBreakBefore w:val="0"/>
        <w:widowControl w:val="0"/>
        <w:kinsoku/>
        <w:wordWrap/>
        <w:overflowPunct/>
        <w:topLinePunct w:val="0"/>
        <w:autoSpaceDE/>
        <w:autoSpaceDN/>
        <w:bidi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66" w:name="_Toc508279879"/>
      <w:r>
        <w:rPr>
          <w:rFonts w:hint="eastAsia" w:ascii="宋体" w:hAnsi="宋体" w:eastAsia="宋体" w:cs="宋体"/>
          <w:color w:val="auto"/>
          <w:sz w:val="24"/>
          <w:szCs w:val="24"/>
          <w:highlight w:val="none"/>
        </w:rPr>
        <w:t>4.确定成交供应商</w:t>
      </w:r>
      <w:bookmarkEnd w:id="66"/>
    </w:p>
    <w:p w14:paraId="253A84E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bookmarkStart w:id="67" w:name="_Toc209847066"/>
      <w:bookmarkStart w:id="68" w:name="_Toc101174147"/>
      <w:bookmarkStart w:id="69" w:name="_Toc101338360"/>
      <w:bookmarkStart w:id="70" w:name="_Toc430773925"/>
      <w:bookmarkStart w:id="71" w:name="_Toc101250642"/>
      <w:r>
        <w:rPr>
          <w:rFonts w:hint="eastAsia" w:ascii="宋体" w:hAnsi="宋体" w:eastAsia="宋体" w:cs="宋体"/>
          <w:color w:val="auto"/>
          <w:sz w:val="24"/>
          <w:highlight w:val="none"/>
        </w:rPr>
        <w:t>采购人应当在收到评审报告后5个工作日内，从评审报告提出的成交候选人中，根据质量和服务均能满足</w:t>
      </w:r>
      <w:r>
        <w:rPr>
          <w:rFonts w:hint="eastAsia" w:ascii="宋体" w:hAnsi="宋体" w:eastAsia="宋体" w:cs="宋体"/>
          <w:bCs/>
          <w:color w:val="auto"/>
          <w:sz w:val="24"/>
          <w:highlight w:val="none"/>
        </w:rPr>
        <w:t>谈判</w:t>
      </w:r>
      <w:r>
        <w:rPr>
          <w:rFonts w:hint="eastAsia" w:ascii="宋体" w:hAnsi="宋体" w:eastAsia="宋体" w:cs="宋体"/>
          <w:color w:val="auto"/>
          <w:sz w:val="24"/>
          <w:highlight w:val="none"/>
        </w:rPr>
        <w:t>文件实质性响应要求且最后报价最低的原则确定成交供应商。</w:t>
      </w:r>
    </w:p>
    <w:bookmarkEnd w:id="67"/>
    <w:bookmarkEnd w:id="68"/>
    <w:bookmarkEnd w:id="69"/>
    <w:bookmarkEnd w:id="70"/>
    <w:bookmarkEnd w:id="71"/>
    <w:p w14:paraId="5838FE50">
      <w:pPr>
        <w:keepNext w:val="0"/>
        <w:keepLines w:val="0"/>
        <w:spacing w:before="0" w:after="0" w:line="400" w:lineRule="exact"/>
        <w:ind w:firstLine="470" w:firstLineChars="196"/>
        <w:outlineLvl w:val="9"/>
        <w:rPr>
          <w:rFonts w:hint="eastAsia" w:ascii="宋体" w:hAnsi="宋体" w:eastAsia="宋体" w:cs="宋体"/>
          <w:color w:val="auto"/>
          <w:sz w:val="24"/>
          <w:szCs w:val="24"/>
          <w:highlight w:val="none"/>
        </w:rPr>
      </w:pPr>
    </w:p>
    <w:p w14:paraId="7A3D8598">
      <w:pPr>
        <w:pStyle w:val="3"/>
        <w:keepNext w:val="0"/>
        <w:keepLines w:val="0"/>
        <w:pageBreakBefore w:val="0"/>
        <w:widowControl w:val="0"/>
        <w:kinsoku/>
        <w:wordWrap/>
        <w:overflowPunct/>
        <w:topLinePunct w:val="0"/>
        <w:autoSpaceDE/>
        <w:autoSpaceDN/>
        <w:bidi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72" w:name="_Toc508279880"/>
      <w:r>
        <w:rPr>
          <w:rFonts w:hint="eastAsia" w:ascii="宋体" w:hAnsi="宋体" w:eastAsia="宋体" w:cs="宋体"/>
          <w:color w:val="auto"/>
          <w:sz w:val="24"/>
          <w:szCs w:val="24"/>
          <w:highlight w:val="none"/>
        </w:rPr>
        <w:t>5.成交通知书</w:t>
      </w:r>
      <w:bookmarkEnd w:id="72"/>
    </w:p>
    <w:p w14:paraId="2EADC5C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成交通知书为签订采购合同的依据之一，是合同的有效组成部分。</w:t>
      </w:r>
    </w:p>
    <w:p w14:paraId="695D00B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采购人按符合采购需求的合格供应商确定成交供应商，确定成交供应商后2个工作日内，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在</w:t>
      </w:r>
      <w:r>
        <w:rPr>
          <w:rFonts w:hint="eastAsia" w:ascii="宋体" w:hAnsi="宋体" w:eastAsia="宋体" w:cs="宋体"/>
          <w:color w:val="auto"/>
          <w:sz w:val="24"/>
          <w:highlight w:val="none"/>
          <w:lang w:val="en-US" w:eastAsia="zh-CN"/>
        </w:rPr>
        <w:t>广汉市中医医院官方网站</w:t>
      </w:r>
      <w:r>
        <w:rPr>
          <w:rFonts w:hint="eastAsia" w:ascii="宋体" w:hAnsi="宋体" w:eastAsia="宋体" w:cs="宋体"/>
          <w:color w:val="auto"/>
          <w:sz w:val="24"/>
          <w:highlight w:val="none"/>
        </w:rPr>
        <w:t>（http://</w:t>
      </w:r>
      <w:r>
        <w:rPr>
          <w:rFonts w:hint="eastAsia" w:ascii="宋体" w:hAnsi="宋体" w:eastAsia="宋体" w:cs="宋体"/>
          <w:color w:val="auto"/>
          <w:sz w:val="24"/>
          <w:highlight w:val="none"/>
          <w:lang w:val="en-US" w:eastAsia="zh-CN"/>
        </w:rPr>
        <w:t>www.</w:t>
      </w:r>
      <w:r>
        <w:rPr>
          <w:rFonts w:hint="eastAsia" w:ascii="宋体" w:hAnsi="宋体" w:eastAsia="宋体" w:cs="宋体"/>
          <w:color w:val="auto"/>
          <w:sz w:val="24"/>
          <w:highlight w:val="none"/>
        </w:rPr>
        <w:t>ghszyyy.com/）</w:t>
      </w:r>
      <w:r>
        <w:rPr>
          <w:rFonts w:hint="eastAsia" w:ascii="宋体" w:hAnsi="宋体" w:eastAsia="宋体" w:cs="宋体"/>
          <w:color w:val="auto"/>
          <w:sz w:val="24"/>
          <w:szCs w:val="24"/>
          <w:highlight w:val="none"/>
        </w:rPr>
        <w:t>上公示成交结果，由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按照相关法律法规向成交供应商发出成交通知书。</w:t>
      </w:r>
    </w:p>
    <w:p w14:paraId="303CD05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成交通知书将作为签订合同的依据。成交通知书对采购人和成交供应商均具有法律效力。成交通知书发出后，采购人改变成交结果或成交供应商无正当理由放弃成交项目的，应当依法承担相关责任。</w:t>
      </w:r>
    </w:p>
    <w:p w14:paraId="3B5A424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5.4 采购人不对成交或未成交原因作出解释，也不退还响应</w:t>
      </w:r>
      <w:r>
        <w:rPr>
          <w:rFonts w:hint="eastAsia" w:ascii="宋体" w:hAnsi="宋体" w:cs="宋体"/>
          <w:color w:val="auto"/>
          <w:sz w:val="24"/>
          <w:szCs w:val="24"/>
          <w:highlight w:val="none"/>
          <w:lang w:val="en-US" w:eastAsia="zh-CN"/>
        </w:rPr>
        <w:t>文件。</w:t>
      </w:r>
    </w:p>
    <w:p w14:paraId="57658A9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szCs w:val="24"/>
          <w:highlight w:val="none"/>
          <w:lang w:val="en-US" w:eastAsia="zh-CN"/>
        </w:rPr>
      </w:pPr>
    </w:p>
    <w:p w14:paraId="0A32F258">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6.谈判小组在采购活动中承担以下义务：</w:t>
      </w:r>
    </w:p>
    <w:p w14:paraId="2B85CE8C">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（一）遵守评审工作纪律；</w:t>
      </w:r>
    </w:p>
    <w:p w14:paraId="29DF1AD6">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（二）按照客观、公正、审慎的原则，根据谈判文件规定的评审程序、评审方法和评审标准进行独立评审；</w:t>
      </w:r>
    </w:p>
    <w:p w14:paraId="24E74F38">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（三）不得泄露评审文件、评审情况和在评审过程中获悉的商业秘密；</w:t>
      </w:r>
    </w:p>
    <w:p w14:paraId="0D91A8F2">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（四）及时向</w:t>
      </w:r>
      <w:r>
        <w:rPr>
          <w:rFonts w:hint="eastAsia" w:ascii="宋体" w:hAnsi="宋体" w:eastAsia="宋体" w:cs="宋体"/>
          <w:color w:val="auto"/>
          <w:sz w:val="24"/>
          <w:highlight w:val="none"/>
          <w:lang w:eastAsia="zh-CN"/>
        </w:rPr>
        <w:t>相关</w:t>
      </w:r>
      <w:r>
        <w:rPr>
          <w:rFonts w:hint="eastAsia" w:ascii="宋体" w:hAnsi="宋体" w:eastAsia="宋体" w:cs="宋体"/>
          <w:color w:val="auto"/>
          <w:sz w:val="24"/>
          <w:highlight w:val="none"/>
        </w:rPr>
        <w:t>部门报告评审过程中发现的采购人向评审专家做倾向性、误导性的解释或者说明，以及供应商行贿、提供虚假材料或者串通等违法行为；</w:t>
      </w:r>
    </w:p>
    <w:p w14:paraId="72CCE632">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（五）发现谈判文件内容违反国家有关强制性规定或者谈判文件存在歧义、重大缺陷导致评审工作无法进行时，停止评审并向采购人书面说明情况；</w:t>
      </w:r>
    </w:p>
    <w:p w14:paraId="09F6CA42">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（六）及时向监察等部门举报在评审过程中受到非法干预的情况；</w:t>
      </w:r>
    </w:p>
    <w:p w14:paraId="5D2383BC">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（七）配合答复处理供应商的询问、质疑和投诉等事项；</w:t>
      </w:r>
    </w:p>
    <w:p w14:paraId="5100DF36">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（八）法律、法规和规章规定的其他义务。</w:t>
      </w:r>
    </w:p>
    <w:p w14:paraId="168CBBAC">
      <w:pPr>
        <w:tabs>
          <w:tab w:val="left" w:pos="7665"/>
        </w:tabs>
        <w:spacing w:line="400" w:lineRule="exact"/>
        <w:rPr>
          <w:rFonts w:hint="eastAsia" w:ascii="宋体" w:hAnsi="宋体" w:eastAsia="宋体" w:cs="宋体"/>
          <w:color w:val="auto"/>
          <w:sz w:val="24"/>
          <w:highlight w:val="none"/>
        </w:rPr>
      </w:pPr>
    </w:p>
    <w:p w14:paraId="78767369">
      <w:pPr>
        <w:pStyle w:val="2"/>
        <w:keepNext/>
        <w:keepLines/>
        <w:pageBreakBefore w:val="0"/>
        <w:widowControl w:val="0"/>
        <w:kinsoku/>
        <w:wordWrap/>
        <w:overflowPunct/>
        <w:topLinePunct w:val="0"/>
        <w:autoSpaceDE/>
        <w:autoSpaceDN/>
        <w:bidi w:val="0"/>
        <w:adjustRightInd/>
        <w:snapToGrid/>
        <w:spacing w:before="60" w:after="60" w:line="360" w:lineRule="auto"/>
        <w:jc w:val="center"/>
        <w:textAlignment w:val="auto"/>
        <w:rPr>
          <w:rFonts w:hint="eastAsia" w:ascii="宋体" w:hAnsi="宋体" w:eastAsia="宋体" w:cs="宋体"/>
          <w:color w:val="auto"/>
          <w:highlight w:val="none"/>
        </w:rPr>
      </w:pPr>
      <w:bookmarkStart w:id="73" w:name="_Toc508279881"/>
      <w:r>
        <w:rPr>
          <w:rFonts w:hint="eastAsia" w:ascii="宋体" w:hAnsi="宋体" w:eastAsia="宋体" w:cs="宋体"/>
          <w:color w:val="auto"/>
          <w:sz w:val="24"/>
          <w:highlight w:val="none"/>
        </w:rPr>
        <w:br w:type="page"/>
      </w:r>
      <w:r>
        <w:rPr>
          <w:rFonts w:hint="eastAsia" w:ascii="宋体" w:hAnsi="宋体" w:eastAsia="宋体" w:cs="宋体"/>
          <w:color w:val="auto"/>
          <w:highlight w:val="none"/>
        </w:rPr>
        <w:t>第</w:t>
      </w:r>
      <w:r>
        <w:rPr>
          <w:rFonts w:hint="eastAsia" w:ascii="宋体" w:hAnsi="宋体" w:cs="宋体"/>
          <w:color w:val="auto"/>
          <w:highlight w:val="none"/>
          <w:lang w:val="en-US" w:eastAsia="zh-CN"/>
        </w:rPr>
        <w:t>六</w:t>
      </w:r>
      <w:r>
        <w:rPr>
          <w:rFonts w:hint="eastAsia" w:ascii="宋体" w:hAnsi="宋体" w:eastAsia="宋体" w:cs="宋体"/>
          <w:color w:val="auto"/>
          <w:highlight w:val="none"/>
        </w:rPr>
        <w:t>章 采购合同（草案）</w:t>
      </w:r>
      <w:bookmarkEnd w:id="73"/>
    </w:p>
    <w:bookmarkEnd w:id="23"/>
    <w:bookmarkEnd w:id="24"/>
    <w:bookmarkEnd w:id="25"/>
    <w:p w14:paraId="78C09D47">
      <w:pPr>
        <w:pStyle w:val="85"/>
        <w:spacing w:line="360" w:lineRule="auto"/>
        <w:ind w:firstLine="482"/>
        <w:rPr>
          <w:rFonts w:hint="eastAsia" w:ascii="宋体" w:hAnsi="宋体" w:eastAsia="宋体" w:cs="宋体"/>
          <w:b/>
          <w:color w:val="auto"/>
          <w:highlight w:val="none"/>
        </w:rPr>
      </w:pPr>
      <w:bookmarkStart w:id="74" w:name="_Hlt101846155"/>
      <w:bookmarkEnd w:id="74"/>
    </w:p>
    <w:p w14:paraId="614A2308">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lang w:val="en-US" w:eastAsia="zh-CN"/>
        </w:rPr>
        <w:t xml:space="preserve"> </w:t>
      </w:r>
    </w:p>
    <w:p w14:paraId="7049DF7D">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签订地点：</w:t>
      </w:r>
      <w:r>
        <w:rPr>
          <w:rFonts w:hint="eastAsia" w:ascii="宋体" w:hAnsi="宋体" w:cs="宋体"/>
          <w:color w:val="auto"/>
          <w:sz w:val="24"/>
          <w:szCs w:val="24"/>
          <w:highlight w:val="none"/>
          <w:lang w:val="en-US" w:eastAsia="zh-CN"/>
        </w:rPr>
        <w:t xml:space="preserve"> </w:t>
      </w:r>
    </w:p>
    <w:p w14:paraId="2DE79EB0">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采购人（甲方）：</w:t>
      </w:r>
      <w:r>
        <w:rPr>
          <w:rFonts w:hint="eastAsia" w:ascii="宋体" w:hAnsi="宋体" w:cs="宋体"/>
          <w:color w:val="auto"/>
          <w:sz w:val="24"/>
          <w:szCs w:val="24"/>
          <w:highlight w:val="none"/>
          <w:lang w:val="en-US" w:eastAsia="zh-CN"/>
        </w:rPr>
        <w:t>广汉市中医医院</w:t>
      </w:r>
    </w:p>
    <w:p w14:paraId="601BBAE9">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供应商（乙方）：</w:t>
      </w:r>
      <w:r>
        <w:rPr>
          <w:rFonts w:hint="eastAsia" w:ascii="宋体" w:hAnsi="宋体" w:eastAsia="宋体" w:cs="宋体"/>
          <w:color w:val="auto"/>
          <w:sz w:val="24"/>
          <w:szCs w:val="24"/>
          <w:highlight w:val="none"/>
          <w:lang w:val="en-US" w:eastAsia="zh-CN"/>
        </w:rPr>
        <w:t xml:space="preserve"> </w:t>
      </w:r>
    </w:p>
    <w:p w14:paraId="0FB38B25">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根据《中华人民共和国民法典》及XXX采购项目（项目编号：XXX）的谈判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 </w:t>
      </w:r>
    </w:p>
    <w:p w14:paraId="13B0626F">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项目基本情况</w:t>
      </w:r>
    </w:p>
    <w:p w14:paraId="765FF743">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 xml:space="preserve"> 项目名称：</w:t>
      </w:r>
      <w:r>
        <w:rPr>
          <w:rFonts w:hint="eastAsia" w:ascii="宋体" w:hAnsi="宋体" w:cs="宋体"/>
          <w:color w:val="auto"/>
          <w:sz w:val="24"/>
          <w:szCs w:val="24"/>
          <w:highlight w:val="none"/>
          <w:u w:val="single"/>
          <w:lang w:val="en-US" w:eastAsia="zh-CN"/>
        </w:rPr>
        <w:t>广汉市中医医院XXX采购项目</w:t>
      </w:r>
    </w:p>
    <w:p w14:paraId="1FC82882">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合同期限</w:t>
      </w:r>
    </w:p>
    <w:p w14:paraId="14F531E1">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合同签订之日起10天</w:t>
      </w:r>
      <w:r>
        <w:rPr>
          <w:rFonts w:hint="eastAsia" w:ascii="宋体" w:hAnsi="宋体" w:eastAsia="宋体" w:cs="宋体"/>
          <w:color w:val="auto"/>
          <w:sz w:val="24"/>
          <w:szCs w:val="24"/>
          <w:highlight w:val="none"/>
          <w:u w:val="none"/>
          <w:lang w:val="en-US" w:eastAsia="zh-CN"/>
        </w:rPr>
        <w:t>。</w:t>
      </w:r>
    </w:p>
    <w:p w14:paraId="4B473446">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服务内容与质量标准</w:t>
      </w:r>
    </w:p>
    <w:p w14:paraId="5325EE00">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（一）服务内容： </w:t>
      </w:r>
    </w:p>
    <w:p w14:paraId="63F7A16B">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xxxxxxxxx</w:t>
      </w:r>
    </w:p>
    <w:p w14:paraId="55F585E1">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（二）质量标准：</w:t>
      </w:r>
    </w:p>
    <w:p w14:paraId="7C835FD8">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xxxxxxxxx</w:t>
      </w:r>
    </w:p>
    <w:p w14:paraId="1952BF8B">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服务费用及支付方式</w:t>
      </w:r>
    </w:p>
    <w:p w14:paraId="0512B107">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（一）本项目合同总价款：</w:t>
      </w:r>
    </w:p>
    <w:p w14:paraId="4AEBD42C">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含税总价（人民币）：￥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CAAC6B4">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（二）服务费支付方式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xxx</w:t>
      </w:r>
      <w:r>
        <w:rPr>
          <w:rFonts w:hint="eastAsia" w:asciiTheme="minorEastAsia" w:hAnsiTheme="minorEastAsia" w:eastAsiaTheme="minorEastAsia" w:cstheme="minorEastAsia"/>
          <w:bCs/>
          <w:color w:val="auto"/>
          <w:sz w:val="24"/>
          <w:szCs w:val="24"/>
          <w:highlight w:val="none"/>
          <w:lang w:val="en-US" w:eastAsia="zh-CN"/>
        </w:rPr>
        <w:t>。</w:t>
      </w:r>
    </w:p>
    <w:p w14:paraId="5294E622">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第五条知识产权</w:t>
      </w:r>
    </w:p>
    <w:p w14:paraId="68566E9E">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服务或其任何一部分均不会侵犯任何第三方的专利权、商标权等任何知识产权。如果乙方违反此约定，甲方有权立即解除合同，且有权按照合同总金额的20％要求乙方支付违约金。如果违约金不足以弥补甲方损失的，甲方有权要求乙方据实弥补甲方损失。</w:t>
      </w:r>
    </w:p>
    <w:p w14:paraId="32AF0F27">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无产权瑕疵条款</w:t>
      </w:r>
    </w:p>
    <w:p w14:paraId="7581F49E">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提供的服务及服务所需的材料的所有权完全属于乙方且无任何抵押、查封等产权瑕疵。如有产权瑕疵的，视为乙方违约，甲方有权立即解除合同，且有权按照合同总金额的20％要求乙方支付违约金。如果违约金不足以弥补甲方损失的，甲方有权要求乙方据实弥补甲方损失。</w:t>
      </w:r>
    </w:p>
    <w:p w14:paraId="53E8F8AD">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甲方的权利和义务</w:t>
      </w:r>
    </w:p>
    <w:p w14:paraId="2EB05C61">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1、甲方有权对合同规定范围内乙方的服务行为进行监督和检查，拥有监管权。对甲方认为不合理的部分有权下达整改通知书，并要求乙方限期整改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乙方不得推诿拒绝。</w:t>
      </w:r>
    </w:p>
    <w:p w14:paraId="7C955177">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、负责检查监督乙方管理工作的实施及制度的执行情况。</w:t>
      </w:r>
    </w:p>
    <w:p w14:paraId="31A86477">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、根据本合同规定，按时向乙方支付应付服务费用。</w:t>
      </w:r>
    </w:p>
    <w:p w14:paraId="6C63A31B">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、甲方有权在应支付给乙方的费用中，优先扣除乙方应支付的违约金或损失赔偿费用。</w:t>
      </w:r>
    </w:p>
    <w:p w14:paraId="48B0E6B4">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、国家法律、法规所规定由甲方承担</w:t>
      </w:r>
      <w:r>
        <w:rPr>
          <w:rFonts w:hint="eastAsia" w:ascii="宋体" w:hAnsi="宋体" w:eastAsia="宋体" w:cs="宋体"/>
          <w:color w:val="auto"/>
          <w:sz w:val="24"/>
          <w:szCs w:val="24"/>
          <w:highlight w:val="none"/>
          <w:lang w:eastAsia="zh-CN"/>
        </w:rPr>
        <w:t>的其他</w:t>
      </w:r>
      <w:r>
        <w:rPr>
          <w:rFonts w:hint="eastAsia" w:ascii="宋体" w:hAnsi="宋体" w:eastAsia="宋体" w:cs="宋体"/>
          <w:color w:val="auto"/>
          <w:sz w:val="24"/>
          <w:szCs w:val="24"/>
          <w:highlight w:val="none"/>
        </w:rPr>
        <w:t>责任。</w:t>
      </w:r>
    </w:p>
    <w:p w14:paraId="74676FF2">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、如果乙方未能按照合同约定进行</w:t>
      </w:r>
      <w:r>
        <w:rPr>
          <w:rFonts w:hint="eastAsia" w:ascii="宋体" w:hAnsi="宋体" w:eastAsia="宋体" w:cs="宋体"/>
          <w:color w:val="auto"/>
          <w:sz w:val="24"/>
          <w:szCs w:val="24"/>
          <w:highlight w:val="none"/>
          <w:lang w:val="en-US" w:eastAsia="zh-CN"/>
        </w:rPr>
        <w:t>维修</w:t>
      </w:r>
      <w:r>
        <w:rPr>
          <w:rFonts w:hint="eastAsia" w:ascii="宋体" w:hAnsi="宋体" w:eastAsia="宋体" w:cs="宋体"/>
          <w:color w:val="auto"/>
          <w:sz w:val="24"/>
          <w:szCs w:val="24"/>
          <w:highlight w:val="none"/>
        </w:rPr>
        <w:t>，经甲方催告后仍然未予以履行的，甲方有权另行委托第三方进行服务，由此产生的费用由乙方全额承担。</w:t>
      </w:r>
    </w:p>
    <w:p w14:paraId="79A44FAB">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第八条乙方的权利和义务</w:t>
      </w:r>
    </w:p>
    <w:p w14:paraId="37F1DD87">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1、对本合同规定的委托服务范围内的项目享有管理权及服务义务。乙方确保提供的服务无质量和权利瑕疵。</w:t>
      </w:r>
    </w:p>
    <w:p w14:paraId="2ED15EC9">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2、根据本合同的规定向甲方收取相关服务费用，并有权在本项目管理范围内管理及合理使用。</w:t>
      </w:r>
    </w:p>
    <w:p w14:paraId="6C8360B7">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3、及时向甲方通告本项目服务范围内有关服务的重大事项，及时配合处理投诉。</w:t>
      </w:r>
    </w:p>
    <w:p w14:paraId="0056A458">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4、接受项目行业管理部门及政府有关部门的指导，接受甲方的监督。</w:t>
      </w:r>
    </w:p>
    <w:p w14:paraId="5F6E8E2F">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5、国家法律、法规所规定由乙方承担</w:t>
      </w:r>
      <w:r>
        <w:rPr>
          <w:rFonts w:hint="eastAsia" w:ascii="宋体" w:hAnsi="宋体" w:eastAsia="宋体" w:cs="宋体"/>
          <w:color w:val="auto"/>
          <w:sz w:val="24"/>
          <w:szCs w:val="24"/>
          <w:highlight w:val="none"/>
          <w:lang w:eastAsia="zh-CN"/>
        </w:rPr>
        <w:t>的其他</w:t>
      </w:r>
      <w:r>
        <w:rPr>
          <w:rFonts w:hint="eastAsia" w:ascii="宋体" w:hAnsi="宋体" w:eastAsia="宋体" w:cs="宋体"/>
          <w:color w:val="auto"/>
          <w:sz w:val="24"/>
          <w:szCs w:val="24"/>
          <w:highlight w:val="none"/>
        </w:rPr>
        <w:t>责任。</w:t>
      </w:r>
    </w:p>
    <w:p w14:paraId="144917CD">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6、乙方每次服务后，均应</w:t>
      </w:r>
      <w:r>
        <w:rPr>
          <w:rFonts w:hint="eastAsia" w:ascii="宋体" w:hAnsi="宋体" w:eastAsia="宋体" w:cs="宋体"/>
          <w:color w:val="auto"/>
          <w:sz w:val="24"/>
          <w:szCs w:val="24"/>
          <w:highlight w:val="none"/>
          <w:lang w:eastAsia="zh-CN"/>
        </w:rPr>
        <w:t>做好</w:t>
      </w:r>
      <w:r>
        <w:rPr>
          <w:rFonts w:hint="eastAsia" w:ascii="宋体" w:hAnsi="宋体" w:eastAsia="宋体" w:cs="宋体"/>
          <w:color w:val="auto"/>
          <w:sz w:val="24"/>
          <w:szCs w:val="24"/>
          <w:highlight w:val="none"/>
        </w:rPr>
        <w:t>书面记录，交甲方签字确认存档。</w:t>
      </w:r>
    </w:p>
    <w:p w14:paraId="5E5C2081">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7、乙方履行义务中，乙方指派人员发生人身伤亡的，由乙方自行承担损失赔偿责任。</w:t>
      </w:r>
    </w:p>
    <w:p w14:paraId="515077F0">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8、如乙方服务过程中，因乙方责任造成甲方设备损害的，乙方应无条件予以维修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如由此导致甲方设备</w:t>
      </w:r>
      <w:r>
        <w:rPr>
          <w:rFonts w:hint="eastAsia" w:ascii="宋体" w:hAnsi="宋体" w:eastAsia="宋体" w:cs="宋体"/>
          <w:color w:val="auto"/>
          <w:sz w:val="24"/>
          <w:szCs w:val="24"/>
          <w:highlight w:val="none"/>
          <w:lang w:val="en-US" w:eastAsia="zh-CN"/>
        </w:rPr>
        <w:t>损坏的，应</w:t>
      </w:r>
      <w:r>
        <w:rPr>
          <w:rFonts w:hint="eastAsia" w:ascii="宋体" w:hAnsi="宋体" w:eastAsia="宋体" w:cs="宋体"/>
          <w:color w:val="auto"/>
          <w:sz w:val="24"/>
          <w:szCs w:val="24"/>
          <w:highlight w:val="none"/>
        </w:rPr>
        <w:t>赔偿甲方全部损失。</w:t>
      </w:r>
    </w:p>
    <w:p w14:paraId="358345D0">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第九条违约责任</w:t>
      </w:r>
    </w:p>
    <w:p w14:paraId="6F6AF817">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1、甲乙双方必须遵守本合同并执行合同中的各项规定，保证本合同的正常履行。</w:t>
      </w:r>
    </w:p>
    <w:p w14:paraId="6B9FC185">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2、如因乙方工作人员在履行职务过程</w:t>
      </w:r>
      <w:r>
        <w:rPr>
          <w:rFonts w:hint="eastAsia" w:ascii="宋体" w:hAnsi="宋体" w:eastAsia="宋体" w:cs="宋体"/>
          <w:color w:val="auto"/>
          <w:sz w:val="24"/>
          <w:szCs w:val="24"/>
          <w:highlight w:val="none"/>
          <w:lang w:eastAsia="zh-CN"/>
        </w:rPr>
        <w:t>中的</w:t>
      </w:r>
      <w:r>
        <w:rPr>
          <w:rFonts w:hint="eastAsia" w:ascii="宋体" w:hAnsi="宋体" w:eastAsia="宋体" w:cs="宋体"/>
          <w:color w:val="auto"/>
          <w:sz w:val="24"/>
          <w:szCs w:val="24"/>
          <w:highlight w:val="none"/>
        </w:rPr>
        <w:t>疏忽、失职、过错等故意或者过失原因给甲方造成损失或侵害，包括但不限于甲方本身的财产损失、由此而导致的甲方对任何第三方的法律责任等，乙方对此均应承担全部的赔偿责任。</w:t>
      </w:r>
    </w:p>
    <w:p w14:paraId="10F67626">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lang w:val="en-US" w:eastAsia="zh-CN" w:bidi="ar-SA"/>
        </w:rPr>
        <w:t>3、本合同在履行过程中，因不可抗力和疫情防控以及法定免责事件的发生造成履约不能或不能履约的，双方互相免责。</w:t>
      </w:r>
    </w:p>
    <w:p w14:paraId="00CE23A5">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第十条不可抗力事件处理</w:t>
      </w:r>
    </w:p>
    <w:p w14:paraId="6311F600">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1A2ADABB">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0AD6BE7E">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3、不可抗力事件延续7天以上，双方应通过友好协商，确定是否继续履行合同。</w:t>
      </w:r>
    </w:p>
    <w:p w14:paraId="7576508D">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第十一条解决合同纠纷的方式</w:t>
      </w:r>
    </w:p>
    <w:p w14:paraId="664FDF77">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1、在执行本合同中发生的或与本合同有关的争端，甲乙双方应通过友好协商解决，经协商不能达成协议时，应提交</w:t>
      </w:r>
      <w:r>
        <w:rPr>
          <w:rFonts w:hint="eastAsia" w:ascii="宋体" w:hAnsi="宋体" w:cs="宋体"/>
          <w:color w:val="auto"/>
          <w:sz w:val="24"/>
          <w:szCs w:val="24"/>
          <w:highlight w:val="none"/>
          <w:lang w:val="en-US" w:eastAsia="zh-CN"/>
        </w:rPr>
        <w:t>广汉市</w:t>
      </w:r>
      <w:r>
        <w:rPr>
          <w:rFonts w:hint="eastAsia" w:ascii="宋体" w:hAnsi="宋体" w:eastAsia="宋体" w:cs="宋体"/>
          <w:color w:val="auto"/>
          <w:sz w:val="24"/>
          <w:szCs w:val="24"/>
          <w:highlight w:val="none"/>
        </w:rPr>
        <w:t>人民法院诉讼解决。由此发生的律师费、差旅费、保全费等相关费用由违约方承担。</w:t>
      </w:r>
    </w:p>
    <w:p w14:paraId="2D4F443B">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2、除另有裁决外，诉讼费应由败诉方负担。 </w:t>
      </w:r>
    </w:p>
    <w:p w14:paraId="0374FE1A">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3、在诉讼期间，除正在进行诉讼部分外，合同其他部分继续执行。  </w:t>
      </w:r>
    </w:p>
    <w:p w14:paraId="76444FDA">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第十二条合同生效及其他</w:t>
      </w:r>
    </w:p>
    <w:p w14:paraId="0B4B7F8E">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1、合同经甲乙双方法定代表人或授权代表签字并加盖单位公章后生效。</w:t>
      </w:r>
    </w:p>
    <w:p w14:paraId="28B38359">
      <w:pPr>
        <w:pStyle w:val="85"/>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2、本合同一式XX份，自双方签章之日起生效。甲方XX份，乙方XX份具有同等法律效力。</w:t>
      </w:r>
    </w:p>
    <w:p w14:paraId="3D8826B6">
      <w:pPr>
        <w:pStyle w:val="85"/>
        <w:adjustRightInd w:val="0"/>
        <w:snapToGrid w:val="0"/>
        <w:spacing w:line="360" w:lineRule="auto"/>
        <w:ind w:firstLine="0" w:firstLineChars="0"/>
        <w:rPr>
          <w:rFonts w:hint="eastAsia" w:ascii="宋体" w:hAnsi="宋体" w:eastAsia="宋体" w:cs="宋体"/>
          <w:color w:val="auto"/>
          <w:sz w:val="24"/>
          <w:szCs w:val="24"/>
          <w:highlight w:val="none"/>
        </w:rPr>
      </w:pPr>
    </w:p>
    <w:p w14:paraId="5C4075B6">
      <w:pPr>
        <w:pStyle w:val="85"/>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14:paraId="70643A56">
      <w:pPr>
        <w:pStyle w:val="85"/>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（盖章）</w:t>
      </w:r>
    </w:p>
    <w:p w14:paraId="53C18644">
      <w:pPr>
        <w:pStyle w:val="85"/>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olor w:val="auto"/>
          <w:highlight w:val="none"/>
        </w:rPr>
        <w:t>法定代表人（负责人）</w:t>
      </w:r>
      <w:r>
        <w:rPr>
          <w:rFonts w:hint="eastAsia" w:ascii="宋体" w:hAnsi="宋体" w:eastAsia="宋体" w:cs="宋体"/>
          <w:color w:val="auto"/>
          <w:sz w:val="24"/>
          <w:szCs w:val="24"/>
          <w:highlight w:val="none"/>
        </w:rPr>
        <w:t xml:space="preserve">（授权代表）：  </w:t>
      </w:r>
      <w:r>
        <w:rPr>
          <w:rFonts w:hint="eastAsia" w:ascii="宋体" w:hAnsi="宋体"/>
          <w:color w:val="auto"/>
          <w:highlight w:val="none"/>
        </w:rPr>
        <w:t>法定代表人（负责人）</w:t>
      </w:r>
      <w:r>
        <w:rPr>
          <w:rFonts w:hint="eastAsia" w:ascii="宋体" w:hAnsi="宋体" w:eastAsia="宋体" w:cs="宋体"/>
          <w:color w:val="auto"/>
          <w:sz w:val="24"/>
          <w:szCs w:val="24"/>
          <w:highlight w:val="none"/>
        </w:rPr>
        <w:t>（授权代表）：</w:t>
      </w:r>
    </w:p>
    <w:p w14:paraId="2232A9EC">
      <w:pPr>
        <w:pStyle w:val="85"/>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（签字或签章）                     （签字或签章）</w:t>
      </w:r>
    </w:p>
    <w:p w14:paraId="5A9AF678">
      <w:pPr>
        <w:pStyle w:val="85"/>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地址：</w:t>
      </w:r>
    </w:p>
    <w:p w14:paraId="7C67761A">
      <w:pPr>
        <w:pStyle w:val="85"/>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 xml:space="preserve"> </w:t>
      </w:r>
    </w:p>
    <w:p w14:paraId="6643150B">
      <w:pPr>
        <w:pStyle w:val="85"/>
        <w:keepNext w:val="0"/>
        <w:keepLines w:val="0"/>
        <w:pageBreakBefore w:val="0"/>
        <w:widowControl w:val="0"/>
        <w:kinsoku/>
        <w:wordWrap/>
        <w:overflowPunct/>
        <w:topLinePunct w:val="0"/>
        <w:autoSpaceDE/>
        <w:autoSpaceDN/>
        <w:bidi w:val="0"/>
        <w:adjustRightInd w:val="0"/>
        <w:snapToGrid w:val="0"/>
        <w:spacing w:line="520" w:lineRule="exact"/>
        <w:ind w:left="5460" w:leftChars="200" w:hanging="5040" w:hangingChars="2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开户行：</w:t>
      </w:r>
    </w:p>
    <w:p w14:paraId="73583264">
      <w:pPr>
        <w:pStyle w:val="85"/>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p>
    <w:p w14:paraId="557AC4EB">
      <w:pPr>
        <w:pStyle w:val="85"/>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电子邮箱：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lang w:val="en-US" w:eastAsia="zh-CN"/>
        </w:rPr>
        <w:t xml:space="preserve"> </w:t>
      </w:r>
    </w:p>
    <w:p w14:paraId="6BC7457F">
      <w:pPr>
        <w:pStyle w:val="85"/>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7C42022D">
      <w:pPr>
        <w:pStyle w:val="85"/>
        <w:keepNext w:val="0"/>
        <w:keepLines w:val="0"/>
        <w:pageBreakBefore w:val="0"/>
        <w:widowControl w:val="0"/>
        <w:kinsoku/>
        <w:wordWrap/>
        <w:overflowPunct/>
        <w:topLinePunct w:val="0"/>
        <w:autoSpaceDE/>
        <w:autoSpaceDN/>
        <w:bidi w:val="0"/>
        <w:adjustRightInd w:val="0"/>
        <w:snapToGrid w:val="0"/>
        <w:spacing w:line="520" w:lineRule="exact"/>
        <w:ind w:left="0" w:leftChars="0" w:firstLine="4320" w:firstLine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    年    月   日</w:t>
      </w:r>
    </w:p>
    <w:p w14:paraId="6C2E48E1">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highlight w:val="none"/>
        </w:rPr>
      </w:pPr>
    </w:p>
    <w:p w14:paraId="2BEC855A">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highlight w:val="none"/>
        </w:rPr>
      </w:pPr>
    </w:p>
    <w:p w14:paraId="6DC648A0">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highlight w:val="none"/>
        </w:rPr>
      </w:pPr>
    </w:p>
    <w:p w14:paraId="6CDEEC72">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highlight w:val="none"/>
        </w:rPr>
      </w:pPr>
    </w:p>
    <w:p w14:paraId="3174262E">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highlight w:val="none"/>
        </w:rPr>
      </w:pPr>
    </w:p>
    <w:p w14:paraId="0458F7FA">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highlight w:val="none"/>
        </w:rPr>
      </w:pPr>
    </w:p>
    <w:p w14:paraId="16293E75">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highlight w:val="none"/>
        </w:rPr>
      </w:pPr>
    </w:p>
    <w:p w14:paraId="008B9E1B">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highlight w:val="none"/>
        </w:rPr>
      </w:pPr>
    </w:p>
    <w:p w14:paraId="3B0F3A40">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highlight w:val="none"/>
        </w:rPr>
      </w:pPr>
    </w:p>
    <w:p w14:paraId="36E0749A">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highlight w:val="none"/>
        </w:rPr>
      </w:pPr>
    </w:p>
    <w:p w14:paraId="4ECA506C">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Cs w:val="0"/>
          <w:color w:val="auto"/>
          <w:highlight w:val="none"/>
        </w:rPr>
      </w:pPr>
    </w:p>
    <w:p w14:paraId="1141AB83">
      <w:pPr>
        <w:rPr>
          <w:rFonts w:hint="eastAsia" w:ascii="宋体" w:hAnsi="宋体" w:eastAsia="宋体" w:cs="宋体"/>
          <w:bCs w:val="0"/>
          <w:color w:val="auto"/>
          <w:highlight w:val="none"/>
        </w:rPr>
      </w:pPr>
    </w:p>
    <w:p w14:paraId="5F8C3758">
      <w:pPr>
        <w:rPr>
          <w:rFonts w:hint="eastAsia" w:ascii="宋体" w:hAnsi="宋体" w:eastAsia="宋体" w:cs="宋体"/>
          <w:bCs w:val="0"/>
          <w:color w:val="auto"/>
          <w:highlight w:val="none"/>
        </w:rPr>
      </w:pPr>
    </w:p>
    <w:p w14:paraId="229B7165">
      <w:pPr>
        <w:rPr>
          <w:rFonts w:hint="eastAsia" w:ascii="宋体" w:hAnsi="宋体" w:eastAsia="宋体" w:cs="宋体"/>
          <w:bCs w:val="0"/>
          <w:color w:val="auto"/>
          <w:highlight w:val="none"/>
        </w:rPr>
      </w:pPr>
    </w:p>
    <w:p w14:paraId="3B18C387">
      <w:pPr>
        <w:spacing w:line="560" w:lineRule="exact"/>
        <w:jc w:val="left"/>
        <w:rPr>
          <w:rFonts w:hint="eastAsia" w:ascii="方正黑体简体" w:eastAsia="方正黑体简体"/>
          <w:sz w:val="32"/>
          <w:szCs w:val="32"/>
        </w:rPr>
      </w:pPr>
    </w:p>
    <w:p w14:paraId="0637EBCF">
      <w:pPr>
        <w:spacing w:line="560" w:lineRule="exact"/>
        <w:jc w:val="left"/>
        <w:rPr>
          <w:rFonts w:hint="eastAsia" w:ascii="方正黑体简体" w:eastAsia="方正黑体简体"/>
          <w:sz w:val="32"/>
          <w:szCs w:val="32"/>
          <w:lang w:eastAsia="zh-CN"/>
        </w:rPr>
      </w:pPr>
      <w:r>
        <w:rPr>
          <w:rFonts w:hint="eastAsia" w:ascii="方正黑体简体" w:eastAsia="方正黑体简体"/>
          <w:sz w:val="32"/>
          <w:szCs w:val="32"/>
        </w:rPr>
        <w:t>附录</w:t>
      </w:r>
      <w:r>
        <w:rPr>
          <w:rFonts w:hint="eastAsia" w:ascii="方正黑体简体" w:eastAsia="方正黑体简体"/>
          <w:sz w:val="32"/>
          <w:szCs w:val="32"/>
          <w:lang w:val="en-US" w:eastAsia="zh-CN"/>
        </w:rPr>
        <w:t>1</w:t>
      </w:r>
    </w:p>
    <w:p w14:paraId="3714C0BB">
      <w:pPr>
        <w:spacing w:line="560" w:lineRule="exact"/>
        <w:jc w:val="center"/>
        <w:rPr>
          <w:rFonts w:hint="eastAsia" w:ascii="方正小标宋简体" w:hAnsi="Times New Roman" w:eastAsia="方正小标宋简体" w:cs="Times New Roman"/>
          <w:sz w:val="32"/>
          <w:szCs w:val="32"/>
          <w:lang w:val="en-US" w:eastAsia="zh-CN"/>
        </w:rPr>
      </w:pPr>
      <w:r>
        <w:rPr>
          <w:rFonts w:hint="eastAsia" w:ascii="方正小标宋简体" w:hAnsi="Times New Roman" w:eastAsia="方正小标宋简体" w:cs="Times New Roman"/>
          <w:sz w:val="32"/>
          <w:szCs w:val="32"/>
          <w:lang w:val="en-US" w:eastAsia="zh-CN"/>
        </w:rPr>
        <w:t>广汉市中医医院</w:t>
      </w:r>
    </w:p>
    <w:p w14:paraId="1B2B5830">
      <w:pPr>
        <w:spacing w:line="560" w:lineRule="exact"/>
        <w:jc w:val="center"/>
        <w:rPr>
          <w:rFonts w:hint="eastAsia" w:ascii="方正黑体简体" w:eastAsia="方正黑体简体"/>
          <w:sz w:val="32"/>
          <w:szCs w:val="32"/>
        </w:rPr>
      </w:pPr>
      <w:r>
        <w:rPr>
          <w:rFonts w:hint="eastAsia" w:ascii="方正小标宋简体" w:hAnsi="Times New Roman" w:eastAsia="方正小标宋简体" w:cs="Times New Roman"/>
          <w:sz w:val="32"/>
          <w:szCs w:val="32"/>
        </w:rPr>
        <w:t>供应商</w:t>
      </w:r>
      <w:r>
        <w:rPr>
          <w:rFonts w:hint="eastAsia" w:ascii="方正小标宋简体" w:eastAsia="方正小标宋简体"/>
          <w:sz w:val="32"/>
          <w:szCs w:val="32"/>
        </w:rPr>
        <w:t>准入申请表</w:t>
      </w:r>
    </w:p>
    <w:p w14:paraId="2148026F">
      <w:pPr>
        <w:spacing w:line="560" w:lineRule="exact"/>
        <w:jc w:val="right"/>
        <w:rPr>
          <w:rFonts w:ascii="方正小标宋简体" w:eastAsia="方正小标宋简体"/>
          <w:sz w:val="32"/>
          <w:szCs w:val="32"/>
        </w:rPr>
      </w:pPr>
      <w:r>
        <w:rPr>
          <w:rFonts w:hint="eastAsia"/>
          <w:bCs/>
          <w:sz w:val="28"/>
          <w:szCs w:val="28"/>
        </w:rPr>
        <w:t xml:space="preserve">  </w:t>
      </w:r>
      <w:r>
        <w:rPr>
          <w:bCs/>
          <w:sz w:val="28"/>
          <w:szCs w:val="28"/>
        </w:rPr>
        <w:t xml:space="preserve">      </w:t>
      </w:r>
      <w:r>
        <w:rPr>
          <w:rFonts w:hint="eastAsia"/>
          <w:bCs/>
          <w:sz w:val="28"/>
          <w:szCs w:val="28"/>
        </w:rPr>
        <w:t xml:space="preserve">                                        </w:t>
      </w:r>
      <w:r>
        <w:rPr>
          <w:rFonts w:hint="eastAsia"/>
          <w:bCs/>
          <w:sz w:val="28"/>
          <w:szCs w:val="28"/>
          <w:lang w:val="en-US" w:eastAsia="zh-CN"/>
        </w:rPr>
        <w:t>2025</w:t>
      </w:r>
      <w:r>
        <w:rPr>
          <w:rFonts w:hint="eastAsia"/>
          <w:bCs/>
          <w:sz w:val="28"/>
          <w:szCs w:val="28"/>
        </w:rPr>
        <w:t>年</w:t>
      </w:r>
      <w:r>
        <w:rPr>
          <w:rFonts w:hint="eastAsia"/>
          <w:bCs/>
          <w:sz w:val="28"/>
          <w:szCs w:val="28"/>
          <w:lang w:val="en-US" w:eastAsia="zh-CN"/>
        </w:rPr>
        <w:t>2</w:t>
      </w:r>
      <w:r>
        <w:rPr>
          <w:rFonts w:hint="eastAsia"/>
          <w:bCs/>
          <w:sz w:val="28"/>
          <w:szCs w:val="28"/>
        </w:rPr>
        <w:t>月</w:t>
      </w:r>
    </w:p>
    <w:p w14:paraId="11425DB0">
      <w:pPr>
        <w:spacing w:line="48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一、供应商基本信息</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63"/>
        <w:gridCol w:w="2977"/>
        <w:gridCol w:w="493"/>
        <w:gridCol w:w="1848"/>
      </w:tblGrid>
      <w:tr w14:paraId="35892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7033" w:type="dxa"/>
            <w:gridSpan w:val="3"/>
            <w:noWrap w:val="0"/>
            <w:vAlign w:val="center"/>
          </w:tcPr>
          <w:p w14:paraId="7F1E7AAB">
            <w:pPr>
              <w:spacing w:line="240" w:lineRule="auto"/>
              <w:rPr>
                <w:rFonts w:hint="default" w:eastAsia="宋体"/>
                <w:lang w:val="en-US" w:eastAsia="zh-CN"/>
              </w:rPr>
            </w:pPr>
            <w:r>
              <w:t>*</w:t>
            </w:r>
            <w:r>
              <w:rPr>
                <w:rFonts w:hint="eastAsia"/>
              </w:rPr>
              <w:t>供应商名称（公章）：</w:t>
            </w:r>
            <w:r>
              <w:rPr>
                <w:rFonts w:hint="eastAsia"/>
                <w:lang w:val="en-US" w:eastAsia="zh-CN"/>
              </w:rPr>
              <w:t xml:space="preserve">        律师事务所</w:t>
            </w:r>
          </w:p>
        </w:tc>
        <w:tc>
          <w:tcPr>
            <w:tcW w:w="1848" w:type="dxa"/>
            <w:vMerge w:val="restart"/>
            <w:noWrap w:val="0"/>
            <w:vAlign w:val="center"/>
          </w:tcPr>
          <w:p w14:paraId="6A59158D">
            <w:pPr>
              <w:spacing w:line="240" w:lineRule="auto"/>
            </w:pPr>
            <w:r>
              <w:rPr>
                <w:rFonts w:hint="eastAsia"/>
                <w:lang w:val="en-US" w:eastAsia="zh-CN"/>
              </w:rPr>
              <w:t>事务所</w:t>
            </w:r>
            <w:r>
              <w:rPr>
                <w:rFonts w:hint="eastAsia"/>
              </w:rPr>
              <w:t>法人2寸免冠彩色近照</w:t>
            </w:r>
          </w:p>
        </w:tc>
      </w:tr>
      <w:tr w14:paraId="3912C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033" w:type="dxa"/>
            <w:gridSpan w:val="3"/>
            <w:noWrap w:val="0"/>
            <w:vAlign w:val="center"/>
          </w:tcPr>
          <w:p w14:paraId="6AA92AAD">
            <w:pPr>
              <w:spacing w:line="240" w:lineRule="auto"/>
            </w:pPr>
            <w:r>
              <w:rPr>
                <w:rFonts w:ascii="宋体" w:hAnsi="宋体"/>
                <w:bCs/>
              </w:rPr>
              <w:t>*</w:t>
            </w:r>
            <w:r>
              <w:rPr>
                <w:rFonts w:hint="eastAsia"/>
              </w:rPr>
              <w:t xml:space="preserve">供应商类型：□制造商  </w:t>
            </w:r>
            <w:r>
              <w:rPr>
                <w:rFonts w:hint="eastAsia"/>
              </w:rPr>
              <w:sym w:font="Wingdings 2" w:char="00A3"/>
            </w:r>
            <w:r>
              <w:rPr>
                <w:rFonts w:hint="eastAsia"/>
              </w:rPr>
              <w:t xml:space="preserve">代理商  □贸易商  </w:t>
            </w:r>
            <w:r>
              <w:rPr>
                <w:rFonts w:hint="eastAsia"/>
              </w:rPr>
              <w:sym w:font="Wingdings 2" w:char="0052"/>
            </w:r>
            <w:r>
              <w:rPr>
                <w:rFonts w:hint="eastAsia"/>
              </w:rPr>
              <w:t>服务商</w:t>
            </w:r>
          </w:p>
        </w:tc>
        <w:tc>
          <w:tcPr>
            <w:tcW w:w="1848" w:type="dxa"/>
            <w:vMerge w:val="continue"/>
            <w:noWrap w:val="0"/>
            <w:vAlign w:val="center"/>
          </w:tcPr>
          <w:p w14:paraId="735ED3D2">
            <w:pPr>
              <w:spacing w:line="240" w:lineRule="auto"/>
            </w:pPr>
          </w:p>
        </w:tc>
      </w:tr>
      <w:tr w14:paraId="57525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033" w:type="dxa"/>
            <w:gridSpan w:val="3"/>
            <w:noWrap w:val="0"/>
            <w:vAlign w:val="center"/>
          </w:tcPr>
          <w:p w14:paraId="3FE196B0">
            <w:pPr>
              <w:spacing w:line="240" w:lineRule="auto"/>
              <w:rPr>
                <w:rFonts w:hint="default" w:eastAsia="宋体"/>
                <w:lang w:val="en-US" w:eastAsia="zh-CN"/>
              </w:rPr>
            </w:pPr>
            <w:r>
              <w:t>*</w:t>
            </w:r>
            <w:r>
              <w:rPr>
                <w:rFonts w:hint="eastAsia"/>
              </w:rPr>
              <w:t>统一社会信用代码：</w:t>
            </w:r>
          </w:p>
        </w:tc>
        <w:tc>
          <w:tcPr>
            <w:tcW w:w="1848" w:type="dxa"/>
            <w:vMerge w:val="continue"/>
            <w:noWrap w:val="0"/>
            <w:vAlign w:val="center"/>
          </w:tcPr>
          <w:p w14:paraId="07CF40BE">
            <w:pPr>
              <w:spacing w:line="240" w:lineRule="auto"/>
            </w:pPr>
          </w:p>
        </w:tc>
      </w:tr>
      <w:tr w14:paraId="275ED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033" w:type="dxa"/>
            <w:gridSpan w:val="3"/>
            <w:noWrap w:val="0"/>
            <w:vAlign w:val="center"/>
          </w:tcPr>
          <w:p w14:paraId="2F91FE70">
            <w:pPr>
              <w:spacing w:line="240" w:lineRule="auto"/>
              <w:rPr>
                <w:rFonts w:hint="default" w:eastAsia="宋体"/>
                <w:lang w:val="en-US" w:eastAsia="zh-CN"/>
              </w:rPr>
            </w:pPr>
            <w:r>
              <w:t>*</w:t>
            </w:r>
            <w:r>
              <w:rPr>
                <w:rFonts w:hint="eastAsia"/>
                <w:lang w:val="en-US" w:eastAsia="zh-CN"/>
              </w:rPr>
              <w:t>事务所</w:t>
            </w:r>
            <w:r>
              <w:rPr>
                <w:rFonts w:hint="eastAsia"/>
              </w:rPr>
              <w:t>地址：</w:t>
            </w:r>
          </w:p>
        </w:tc>
        <w:tc>
          <w:tcPr>
            <w:tcW w:w="1848" w:type="dxa"/>
            <w:vMerge w:val="continue"/>
            <w:tcBorders>
              <w:bottom w:val="single" w:color="auto" w:sz="4" w:space="0"/>
            </w:tcBorders>
            <w:noWrap w:val="0"/>
            <w:vAlign w:val="center"/>
          </w:tcPr>
          <w:p w14:paraId="3AEE40C9">
            <w:pPr>
              <w:spacing w:line="240" w:lineRule="auto"/>
            </w:pPr>
          </w:p>
        </w:tc>
      </w:tr>
      <w:tr w14:paraId="02B18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881" w:type="dxa"/>
            <w:gridSpan w:val="4"/>
            <w:noWrap w:val="0"/>
            <w:vAlign w:val="center"/>
          </w:tcPr>
          <w:p w14:paraId="448697F9">
            <w:pPr>
              <w:spacing w:line="240" w:lineRule="auto"/>
            </w:pPr>
            <w:r>
              <w:rPr>
                <w:rFonts w:hint="eastAsia"/>
              </w:rPr>
              <w:t>注册地址：</w:t>
            </w:r>
          </w:p>
          <w:p w14:paraId="4BB781CE">
            <w:pPr>
              <w:spacing w:line="240" w:lineRule="auto"/>
              <w:rPr>
                <w:rFonts w:ascii="宋体" w:hAnsi="宋体"/>
                <w:szCs w:val="21"/>
              </w:rPr>
            </w:pPr>
            <w:r>
              <w:t>*</w:t>
            </w:r>
            <w:r>
              <w:rPr>
                <w:rFonts w:hint="eastAsia"/>
              </w:rPr>
              <w:t>地址：</w:t>
            </w:r>
            <w:r>
              <w:rPr>
                <w:rFonts w:hint="eastAsia"/>
                <w:lang w:val="en-US" w:eastAsia="zh-CN"/>
              </w:rPr>
              <w:t xml:space="preserve">   </w:t>
            </w:r>
            <w:r>
              <w:rPr>
                <w:rFonts w:hint="eastAsia" w:ascii="宋体" w:hAnsi="宋体"/>
                <w:szCs w:val="21"/>
              </w:rPr>
              <w:t>省(市)</w:t>
            </w:r>
            <w:r>
              <w:rPr>
                <w:rFonts w:hint="eastAsia" w:ascii="宋体" w:hAnsi="宋体"/>
                <w:szCs w:val="21"/>
                <w:lang w:val="en-US" w:eastAsia="zh-CN"/>
              </w:rPr>
              <w:t xml:space="preserve">    </w:t>
            </w:r>
            <w:r>
              <w:rPr>
                <w:rFonts w:hint="eastAsia" w:ascii="宋体" w:hAnsi="宋体"/>
                <w:szCs w:val="21"/>
              </w:rPr>
              <w:t xml:space="preserve">市(区)  </w:t>
            </w:r>
            <w:r>
              <w:rPr>
                <w:rFonts w:hint="eastAsia" w:ascii="宋体" w:hAnsi="宋体"/>
                <w:szCs w:val="21"/>
                <w:lang w:val="en-US" w:eastAsia="zh-CN"/>
              </w:rPr>
              <w:t xml:space="preserve">   </w:t>
            </w:r>
            <w:r>
              <w:rPr>
                <w:rFonts w:hint="eastAsia" w:ascii="宋体" w:hAnsi="宋体"/>
                <w:szCs w:val="21"/>
              </w:rPr>
              <w:t xml:space="preserve"> 路(街)</w:t>
            </w:r>
            <w:r>
              <w:rPr>
                <w:rFonts w:hint="eastAsia" w:ascii="宋体" w:hAnsi="宋体"/>
                <w:szCs w:val="21"/>
                <w:lang w:val="en-US" w:eastAsia="zh-CN"/>
              </w:rPr>
              <w:t xml:space="preserve">     </w:t>
            </w:r>
            <w:r>
              <w:rPr>
                <w:rFonts w:hint="eastAsia" w:ascii="宋体" w:hAnsi="宋体"/>
                <w:szCs w:val="21"/>
              </w:rPr>
              <w:t xml:space="preserve">号        </w:t>
            </w:r>
          </w:p>
          <w:p w14:paraId="65530DAA">
            <w:pPr>
              <w:spacing w:line="240" w:lineRule="auto"/>
            </w:pPr>
            <w:r>
              <w:rPr>
                <w:rFonts w:ascii="宋体" w:hAnsi="宋体"/>
                <w:szCs w:val="21"/>
              </w:rPr>
              <w:t>*</w:t>
            </w:r>
            <w:r>
              <w:rPr>
                <w:rFonts w:hint="eastAsia" w:ascii="宋体" w:hAnsi="宋体"/>
                <w:szCs w:val="21"/>
              </w:rPr>
              <w:t>邮编：</w:t>
            </w:r>
          </w:p>
        </w:tc>
      </w:tr>
      <w:tr w14:paraId="5E326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881" w:type="dxa"/>
            <w:gridSpan w:val="4"/>
            <w:noWrap w:val="0"/>
            <w:vAlign w:val="center"/>
          </w:tcPr>
          <w:p w14:paraId="14951CDD">
            <w:pPr>
              <w:spacing w:line="240" w:lineRule="auto"/>
              <w:rPr>
                <w:rFonts w:hint="eastAsia" w:eastAsia="宋体"/>
                <w:lang w:val="en-US" w:eastAsia="zh-CN"/>
              </w:rPr>
            </w:pPr>
            <w:r>
              <w:t>*</w:t>
            </w:r>
            <w:r>
              <w:rPr>
                <w:rFonts w:hint="eastAsia"/>
              </w:rPr>
              <w:t>经营范围：</w:t>
            </w:r>
            <w:r>
              <w:rPr>
                <w:rFonts w:hint="eastAsia"/>
                <w:lang w:val="en-US" w:eastAsia="zh-CN"/>
              </w:rPr>
              <w:t>法律服务</w:t>
            </w:r>
          </w:p>
        </w:tc>
      </w:tr>
      <w:tr w14:paraId="23C02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881" w:type="dxa"/>
            <w:gridSpan w:val="4"/>
            <w:noWrap w:val="0"/>
            <w:vAlign w:val="center"/>
          </w:tcPr>
          <w:p w14:paraId="44D53842">
            <w:pPr>
              <w:spacing w:line="240" w:lineRule="auto"/>
              <w:rPr>
                <w:rFonts w:hint="default" w:eastAsia="宋体"/>
                <w:lang w:val="en-US" w:eastAsia="zh-CN"/>
              </w:rPr>
            </w:pPr>
            <w:r>
              <w:rPr>
                <w:rFonts w:hint="eastAsia"/>
              </w:rPr>
              <w:t>获奖情况：</w:t>
            </w:r>
          </w:p>
        </w:tc>
      </w:tr>
      <w:tr w14:paraId="37EF1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563" w:type="dxa"/>
            <w:tcBorders>
              <w:right w:val="single" w:color="auto" w:sz="4" w:space="0"/>
            </w:tcBorders>
            <w:noWrap w:val="0"/>
            <w:vAlign w:val="center"/>
          </w:tcPr>
          <w:p w14:paraId="16FD7C49">
            <w:pPr>
              <w:widowControl/>
              <w:spacing w:line="240" w:lineRule="auto"/>
              <w:rPr>
                <w:rFonts w:hint="eastAsia" w:eastAsia="宋体"/>
                <w:lang w:val="en-US" w:eastAsia="zh-CN"/>
              </w:rPr>
            </w:pPr>
            <w:r>
              <w:t>*</w:t>
            </w:r>
            <w:r>
              <w:rPr>
                <w:rFonts w:hint="eastAsia"/>
              </w:rPr>
              <w:t>法定代表人：</w:t>
            </w:r>
          </w:p>
        </w:tc>
        <w:tc>
          <w:tcPr>
            <w:tcW w:w="2977" w:type="dxa"/>
            <w:tcBorders>
              <w:left w:val="single" w:color="auto" w:sz="4" w:space="0"/>
              <w:right w:val="single" w:color="auto" w:sz="4" w:space="0"/>
            </w:tcBorders>
            <w:noWrap w:val="0"/>
            <w:vAlign w:val="center"/>
          </w:tcPr>
          <w:p w14:paraId="4B969C5F">
            <w:pPr>
              <w:spacing w:line="240" w:lineRule="auto"/>
              <w:rPr>
                <w:rFonts w:hint="eastAsia" w:eastAsia="宋体"/>
                <w:lang w:val="en-US" w:eastAsia="zh-CN"/>
              </w:rPr>
            </w:pPr>
            <w:r>
              <w:t>*</w:t>
            </w:r>
            <w:r>
              <w:rPr>
                <w:rFonts w:hint="eastAsia"/>
              </w:rPr>
              <w:t>联系人姓名：</w:t>
            </w:r>
          </w:p>
        </w:tc>
        <w:tc>
          <w:tcPr>
            <w:tcW w:w="2341" w:type="dxa"/>
            <w:gridSpan w:val="2"/>
            <w:tcBorders>
              <w:left w:val="single" w:color="auto" w:sz="4" w:space="0"/>
              <w:right w:val="single" w:color="auto" w:sz="4" w:space="0"/>
            </w:tcBorders>
            <w:noWrap w:val="0"/>
            <w:vAlign w:val="center"/>
          </w:tcPr>
          <w:p w14:paraId="52DCAC37">
            <w:pPr>
              <w:spacing w:line="240" w:lineRule="auto"/>
              <w:rPr>
                <w:rFonts w:hint="default" w:eastAsia="宋体"/>
                <w:lang w:val="en-US" w:eastAsia="zh-CN"/>
              </w:rPr>
            </w:pPr>
            <w:r>
              <w:rPr>
                <w:rFonts w:hint="eastAsia"/>
              </w:rPr>
              <w:t>职务：</w:t>
            </w:r>
          </w:p>
        </w:tc>
      </w:tr>
      <w:tr w14:paraId="484B9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563" w:type="dxa"/>
            <w:tcBorders>
              <w:bottom w:val="single" w:color="auto" w:sz="4" w:space="0"/>
            </w:tcBorders>
            <w:noWrap w:val="0"/>
            <w:vAlign w:val="center"/>
          </w:tcPr>
          <w:p w14:paraId="4547EE47">
            <w:pPr>
              <w:spacing w:line="240" w:lineRule="auto"/>
              <w:rPr>
                <w:rFonts w:hint="default" w:eastAsia="宋体"/>
                <w:lang w:val="en-US" w:eastAsia="zh-CN"/>
              </w:rPr>
            </w:pPr>
            <w:r>
              <w:t>*</w:t>
            </w:r>
            <w:r>
              <w:rPr>
                <w:rFonts w:hint="eastAsia"/>
              </w:rPr>
              <w:t>注册资本：</w:t>
            </w:r>
          </w:p>
        </w:tc>
        <w:tc>
          <w:tcPr>
            <w:tcW w:w="5318" w:type="dxa"/>
            <w:gridSpan w:val="3"/>
            <w:noWrap w:val="0"/>
            <w:vAlign w:val="center"/>
          </w:tcPr>
          <w:p w14:paraId="7DB3FEAE">
            <w:pPr>
              <w:spacing w:line="240" w:lineRule="auto"/>
              <w:rPr>
                <w:rFonts w:hint="default" w:eastAsia="宋体"/>
                <w:color w:val="FF0000"/>
                <w:lang w:val="en-US" w:eastAsia="zh-CN"/>
              </w:rPr>
            </w:pPr>
            <w:r>
              <w:t>*</w:t>
            </w:r>
            <w:r>
              <w:rPr>
                <w:rFonts w:hint="eastAsia"/>
              </w:rPr>
              <w:t>手机：</w:t>
            </w:r>
          </w:p>
        </w:tc>
      </w:tr>
      <w:tr w14:paraId="26CD7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563" w:type="dxa"/>
            <w:tcBorders>
              <w:top w:val="single" w:color="auto" w:sz="4" w:space="0"/>
            </w:tcBorders>
            <w:noWrap w:val="0"/>
            <w:vAlign w:val="center"/>
          </w:tcPr>
          <w:p w14:paraId="7C60902B">
            <w:pPr>
              <w:spacing w:line="240" w:lineRule="auto"/>
              <w:rPr>
                <w:rFonts w:hint="eastAsia" w:eastAsia="宋体"/>
                <w:lang w:val="en-US" w:eastAsia="zh-CN"/>
              </w:rPr>
            </w:pPr>
            <w:r>
              <w:t>*</w:t>
            </w:r>
            <w:r>
              <w:rPr>
                <w:rFonts w:hint="eastAsia"/>
                <w:lang w:val="en-US" w:eastAsia="zh-CN"/>
              </w:rPr>
              <w:t>事务所</w:t>
            </w:r>
            <w:r>
              <w:rPr>
                <w:rFonts w:hint="eastAsia"/>
              </w:rPr>
              <w:t>类型：</w:t>
            </w:r>
          </w:p>
        </w:tc>
        <w:tc>
          <w:tcPr>
            <w:tcW w:w="5318" w:type="dxa"/>
            <w:gridSpan w:val="3"/>
            <w:tcBorders>
              <w:top w:val="single" w:color="auto" w:sz="4" w:space="0"/>
            </w:tcBorders>
            <w:noWrap w:val="0"/>
            <w:vAlign w:val="center"/>
          </w:tcPr>
          <w:p w14:paraId="44FD5370">
            <w:pPr>
              <w:spacing w:line="240" w:lineRule="auto"/>
            </w:pPr>
            <w:r>
              <w:rPr>
                <w:rFonts w:hint="eastAsia"/>
              </w:rPr>
              <w:t>QQ：</w:t>
            </w:r>
          </w:p>
        </w:tc>
      </w:tr>
      <w:tr w14:paraId="5730C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3563" w:type="dxa"/>
            <w:tcBorders>
              <w:top w:val="single" w:color="auto" w:sz="4" w:space="0"/>
            </w:tcBorders>
            <w:noWrap w:val="0"/>
            <w:vAlign w:val="center"/>
          </w:tcPr>
          <w:p w14:paraId="454947AE">
            <w:pPr>
              <w:spacing w:line="240" w:lineRule="auto"/>
              <w:rPr>
                <w:rFonts w:hint="default" w:eastAsia="宋体"/>
                <w:lang w:val="en-US" w:eastAsia="zh-CN"/>
              </w:rPr>
            </w:pPr>
            <w:r>
              <w:rPr>
                <w:rFonts w:hint="eastAsia"/>
              </w:rPr>
              <w:t>成立时间：</w:t>
            </w:r>
          </w:p>
        </w:tc>
        <w:tc>
          <w:tcPr>
            <w:tcW w:w="5318" w:type="dxa"/>
            <w:gridSpan w:val="3"/>
            <w:tcBorders>
              <w:top w:val="single" w:color="auto" w:sz="4" w:space="0"/>
            </w:tcBorders>
            <w:noWrap w:val="0"/>
            <w:vAlign w:val="center"/>
          </w:tcPr>
          <w:p w14:paraId="7530F512">
            <w:pPr>
              <w:spacing w:line="240" w:lineRule="auto"/>
              <w:rPr>
                <w:rFonts w:hint="default" w:eastAsia="宋体"/>
                <w:color w:val="FF0000"/>
                <w:lang w:val="en-US" w:eastAsia="zh-CN"/>
              </w:rPr>
            </w:pPr>
            <w:r>
              <w:rPr>
                <w:rFonts w:hint="eastAsia"/>
              </w:rPr>
              <w:t>公司办公电话：</w:t>
            </w:r>
          </w:p>
        </w:tc>
      </w:tr>
      <w:tr w14:paraId="50E17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563" w:type="dxa"/>
            <w:noWrap w:val="0"/>
            <w:vAlign w:val="center"/>
          </w:tcPr>
          <w:p w14:paraId="22836300">
            <w:pPr>
              <w:snapToGrid w:val="0"/>
              <w:spacing w:line="240" w:lineRule="auto"/>
            </w:pPr>
            <w:r>
              <w:t>*</w:t>
            </w:r>
            <w:r>
              <w:rPr>
                <w:rFonts w:hint="eastAsia"/>
              </w:rPr>
              <w:t>开户银行：</w:t>
            </w:r>
          </w:p>
        </w:tc>
        <w:tc>
          <w:tcPr>
            <w:tcW w:w="5318" w:type="dxa"/>
            <w:gridSpan w:val="3"/>
            <w:noWrap w:val="0"/>
            <w:vAlign w:val="center"/>
          </w:tcPr>
          <w:p w14:paraId="255B5A79">
            <w:pPr>
              <w:snapToGrid w:val="0"/>
              <w:spacing w:line="240" w:lineRule="auto"/>
            </w:pPr>
            <w:r>
              <w:t>*</w:t>
            </w:r>
            <w:r>
              <w:rPr>
                <w:rFonts w:hint="eastAsia"/>
              </w:rPr>
              <w:t>公司办公传真：</w:t>
            </w:r>
          </w:p>
        </w:tc>
      </w:tr>
      <w:tr w14:paraId="7A663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563" w:type="dxa"/>
            <w:noWrap w:val="0"/>
            <w:vAlign w:val="center"/>
          </w:tcPr>
          <w:p w14:paraId="463346B1">
            <w:pPr>
              <w:snapToGrid w:val="0"/>
              <w:spacing w:line="240" w:lineRule="auto"/>
            </w:pPr>
            <w:r>
              <w:t>*</w:t>
            </w:r>
            <w:r>
              <w:rPr>
                <w:rFonts w:hint="eastAsia"/>
              </w:rPr>
              <w:t>银行账号：</w:t>
            </w:r>
          </w:p>
        </w:tc>
        <w:tc>
          <w:tcPr>
            <w:tcW w:w="5318" w:type="dxa"/>
            <w:gridSpan w:val="3"/>
            <w:noWrap w:val="0"/>
            <w:vAlign w:val="center"/>
          </w:tcPr>
          <w:p w14:paraId="75923240">
            <w:pPr>
              <w:snapToGrid w:val="0"/>
              <w:spacing w:line="240" w:lineRule="auto"/>
              <w:rPr>
                <w:rFonts w:hint="default" w:eastAsia="宋体"/>
                <w:lang w:val="en-US" w:eastAsia="zh-CN"/>
              </w:rPr>
            </w:pPr>
            <w:r>
              <w:t>*</w:t>
            </w:r>
            <w:r>
              <w:rPr>
                <w:rFonts w:hint="eastAsia"/>
              </w:rPr>
              <w:t>电子邮箱：</w:t>
            </w:r>
          </w:p>
        </w:tc>
      </w:tr>
      <w:tr w14:paraId="4F412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3563" w:type="dxa"/>
            <w:noWrap w:val="0"/>
            <w:vAlign w:val="center"/>
          </w:tcPr>
          <w:p w14:paraId="23E3BAC8">
            <w:pPr>
              <w:snapToGrid w:val="0"/>
              <w:spacing w:line="240" w:lineRule="auto"/>
            </w:pPr>
            <w:r>
              <w:rPr>
                <w:rFonts w:hint="eastAsia"/>
              </w:rPr>
              <w:t>银行信用等级：</w:t>
            </w:r>
          </w:p>
        </w:tc>
        <w:tc>
          <w:tcPr>
            <w:tcW w:w="5318" w:type="dxa"/>
            <w:gridSpan w:val="3"/>
            <w:noWrap w:val="0"/>
            <w:vAlign w:val="center"/>
          </w:tcPr>
          <w:p w14:paraId="13F261B4">
            <w:pPr>
              <w:snapToGrid w:val="0"/>
              <w:spacing w:line="240" w:lineRule="auto"/>
            </w:pPr>
            <w:r>
              <w:rPr>
                <w:rFonts w:hint="eastAsia"/>
              </w:rPr>
              <w:t>公司网址：</w:t>
            </w:r>
          </w:p>
        </w:tc>
      </w:tr>
      <w:tr w14:paraId="0923C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jc w:val="center"/>
        </w:trPr>
        <w:tc>
          <w:tcPr>
            <w:tcW w:w="8881" w:type="dxa"/>
            <w:gridSpan w:val="4"/>
            <w:noWrap w:val="0"/>
            <w:vAlign w:val="center"/>
          </w:tcPr>
          <w:p w14:paraId="2BE80E36">
            <w:pPr>
              <w:snapToGrid w:val="0"/>
              <w:spacing w:line="220" w:lineRule="exact"/>
              <w:rPr>
                <w:rFonts w:hint="eastAsia" w:ascii="宋体" w:hAnsi="宋体" w:eastAsia="宋体"/>
                <w:bCs/>
                <w:lang w:eastAsia="zh-CN"/>
              </w:rPr>
            </w:pPr>
            <w:r>
              <w:rPr>
                <w:rFonts w:hint="eastAsia" w:ascii="宋体" w:hAnsi="宋体"/>
                <w:bCs/>
                <w:sz w:val="18"/>
                <w:szCs w:val="18"/>
              </w:rPr>
              <w:t>注：1.项目名称前有“</w:t>
            </w:r>
            <w:r>
              <w:rPr>
                <w:rFonts w:ascii="宋体" w:hAnsi="宋体"/>
                <w:bCs/>
                <w:sz w:val="18"/>
                <w:szCs w:val="18"/>
              </w:rPr>
              <w:t>*</w:t>
            </w:r>
            <w:r>
              <w:rPr>
                <w:rFonts w:hint="eastAsia" w:ascii="宋体" w:hAnsi="宋体"/>
                <w:bCs/>
                <w:sz w:val="18"/>
                <w:szCs w:val="18"/>
              </w:rPr>
              <w:t>”的为必填项</w:t>
            </w:r>
            <w:r>
              <w:rPr>
                <w:rFonts w:hint="eastAsia" w:ascii="宋体" w:hAnsi="宋体"/>
                <w:bCs/>
                <w:sz w:val="18"/>
                <w:szCs w:val="18"/>
                <w:lang w:eastAsia="zh-CN"/>
              </w:rPr>
              <w:t>。</w:t>
            </w:r>
          </w:p>
        </w:tc>
      </w:tr>
    </w:tbl>
    <w:p w14:paraId="509CBDC1">
      <w:pPr>
        <w:pStyle w:val="94"/>
      </w:pPr>
      <w:r>
        <w:br w:type="page"/>
      </w:r>
      <w:r>
        <w:rPr>
          <w:rFonts w:hint="eastAsia"/>
        </w:rPr>
        <w:t>二、申请准入产品</w:t>
      </w:r>
    </w:p>
    <w:tbl>
      <w:tblPr>
        <w:tblStyle w:val="33"/>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
        <w:gridCol w:w="3513"/>
        <w:gridCol w:w="2268"/>
        <w:gridCol w:w="2733"/>
      </w:tblGrid>
      <w:tr w14:paraId="543BE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866" w:type="dxa"/>
            <w:tcBorders>
              <w:right w:val="single" w:color="auto" w:sz="4" w:space="0"/>
            </w:tcBorders>
            <w:noWrap w:val="0"/>
            <w:vAlign w:val="center"/>
          </w:tcPr>
          <w:p w14:paraId="42389BA7">
            <w:pPr>
              <w:spacing w:line="300" w:lineRule="exact"/>
              <w:ind w:left="-105" w:leftChars="-50" w:right="-107" w:rightChars="-51"/>
              <w:jc w:val="center"/>
              <w:rPr>
                <w:szCs w:val="21"/>
              </w:rPr>
            </w:pPr>
            <w:r>
              <w:rPr>
                <w:rFonts w:hint="eastAsia"/>
                <w:szCs w:val="21"/>
              </w:rPr>
              <w:t>序号</w:t>
            </w:r>
          </w:p>
        </w:tc>
        <w:tc>
          <w:tcPr>
            <w:tcW w:w="3513" w:type="dxa"/>
            <w:tcBorders>
              <w:left w:val="single" w:color="auto" w:sz="4" w:space="0"/>
              <w:right w:val="single" w:color="auto" w:sz="4" w:space="0"/>
            </w:tcBorders>
            <w:noWrap w:val="0"/>
            <w:vAlign w:val="center"/>
          </w:tcPr>
          <w:p w14:paraId="4A588809">
            <w:pPr>
              <w:spacing w:line="300" w:lineRule="exact"/>
              <w:jc w:val="center"/>
              <w:rPr>
                <w:szCs w:val="21"/>
              </w:rPr>
            </w:pPr>
            <w:r>
              <w:rPr>
                <w:rFonts w:hint="eastAsia"/>
                <w:szCs w:val="21"/>
              </w:rPr>
              <w:t>外协产品/外购物资</w:t>
            </w:r>
          </w:p>
        </w:tc>
        <w:tc>
          <w:tcPr>
            <w:tcW w:w="2268" w:type="dxa"/>
            <w:tcBorders>
              <w:left w:val="single" w:color="auto" w:sz="4" w:space="0"/>
            </w:tcBorders>
            <w:noWrap w:val="0"/>
            <w:vAlign w:val="center"/>
          </w:tcPr>
          <w:p w14:paraId="64D70751">
            <w:pPr>
              <w:spacing w:line="300" w:lineRule="exact"/>
              <w:jc w:val="center"/>
              <w:rPr>
                <w:color w:val="FF0000"/>
                <w:szCs w:val="21"/>
              </w:rPr>
            </w:pPr>
            <w:r>
              <w:rPr>
                <w:rFonts w:hint="eastAsia"/>
                <w:szCs w:val="21"/>
              </w:rPr>
              <w:t>产品图号（外协）</w:t>
            </w:r>
          </w:p>
        </w:tc>
        <w:tc>
          <w:tcPr>
            <w:tcW w:w="2733" w:type="dxa"/>
            <w:noWrap w:val="0"/>
            <w:vAlign w:val="center"/>
          </w:tcPr>
          <w:p w14:paraId="775CEB11">
            <w:pPr>
              <w:spacing w:line="300" w:lineRule="exact"/>
              <w:jc w:val="center"/>
              <w:rPr>
                <w:szCs w:val="21"/>
              </w:rPr>
            </w:pPr>
            <w:r>
              <w:rPr>
                <w:rFonts w:hint="eastAsia"/>
                <w:szCs w:val="21"/>
              </w:rPr>
              <w:t>分类编码（外购）</w:t>
            </w:r>
          </w:p>
        </w:tc>
      </w:tr>
      <w:tr w14:paraId="4D57E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866" w:type="dxa"/>
            <w:tcBorders>
              <w:right w:val="single" w:color="auto" w:sz="4" w:space="0"/>
            </w:tcBorders>
            <w:noWrap w:val="0"/>
            <w:vAlign w:val="center"/>
          </w:tcPr>
          <w:p w14:paraId="5EC1D3B2">
            <w:pPr>
              <w:spacing w:line="300" w:lineRule="exact"/>
              <w:jc w:val="center"/>
              <w:rPr>
                <w:rFonts w:hint="eastAsia" w:eastAsia="宋体"/>
                <w:szCs w:val="21"/>
                <w:lang w:val="en-US" w:eastAsia="zh-CN"/>
              </w:rPr>
            </w:pPr>
            <w:r>
              <w:rPr>
                <w:rFonts w:hint="eastAsia"/>
                <w:szCs w:val="21"/>
                <w:lang w:val="en-US" w:eastAsia="zh-CN"/>
              </w:rPr>
              <w:t>1</w:t>
            </w:r>
          </w:p>
        </w:tc>
        <w:tc>
          <w:tcPr>
            <w:tcW w:w="3513" w:type="dxa"/>
            <w:tcBorders>
              <w:left w:val="single" w:color="auto" w:sz="4" w:space="0"/>
              <w:right w:val="single" w:color="auto" w:sz="4" w:space="0"/>
            </w:tcBorders>
            <w:noWrap w:val="0"/>
            <w:vAlign w:val="center"/>
          </w:tcPr>
          <w:p w14:paraId="2904F7D1">
            <w:pPr>
              <w:spacing w:line="300" w:lineRule="exact"/>
              <w:jc w:val="center"/>
              <w:rPr>
                <w:rFonts w:hint="default" w:eastAsia="宋体"/>
                <w:szCs w:val="21"/>
                <w:lang w:val="en-US" w:eastAsia="zh-CN"/>
              </w:rPr>
            </w:pPr>
            <w:r>
              <w:rPr>
                <w:rFonts w:hint="eastAsia"/>
                <w:szCs w:val="21"/>
                <w:lang w:val="en-US" w:eastAsia="zh-CN"/>
              </w:rPr>
              <w:t>法律咨询及服务</w:t>
            </w:r>
          </w:p>
        </w:tc>
        <w:tc>
          <w:tcPr>
            <w:tcW w:w="2268" w:type="dxa"/>
            <w:tcBorders>
              <w:left w:val="single" w:color="auto" w:sz="4" w:space="0"/>
            </w:tcBorders>
            <w:noWrap w:val="0"/>
            <w:vAlign w:val="center"/>
          </w:tcPr>
          <w:p w14:paraId="5CF99E8E">
            <w:pPr>
              <w:spacing w:line="300" w:lineRule="exact"/>
              <w:rPr>
                <w:szCs w:val="21"/>
              </w:rPr>
            </w:pPr>
          </w:p>
        </w:tc>
        <w:tc>
          <w:tcPr>
            <w:tcW w:w="2733" w:type="dxa"/>
            <w:noWrap w:val="0"/>
            <w:vAlign w:val="center"/>
          </w:tcPr>
          <w:p w14:paraId="30C0ACD7">
            <w:pPr>
              <w:spacing w:line="300" w:lineRule="exact"/>
              <w:rPr>
                <w:szCs w:val="21"/>
              </w:rPr>
            </w:pPr>
          </w:p>
        </w:tc>
      </w:tr>
      <w:tr w14:paraId="2E166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866" w:type="dxa"/>
            <w:tcBorders>
              <w:right w:val="single" w:color="auto" w:sz="4" w:space="0"/>
            </w:tcBorders>
            <w:noWrap w:val="0"/>
            <w:vAlign w:val="center"/>
          </w:tcPr>
          <w:p w14:paraId="5A17FE67">
            <w:pPr>
              <w:spacing w:line="300" w:lineRule="exact"/>
              <w:rPr>
                <w:szCs w:val="21"/>
              </w:rPr>
            </w:pPr>
          </w:p>
        </w:tc>
        <w:tc>
          <w:tcPr>
            <w:tcW w:w="3513" w:type="dxa"/>
            <w:tcBorders>
              <w:left w:val="single" w:color="auto" w:sz="4" w:space="0"/>
              <w:right w:val="single" w:color="auto" w:sz="4" w:space="0"/>
            </w:tcBorders>
            <w:noWrap w:val="0"/>
            <w:vAlign w:val="center"/>
          </w:tcPr>
          <w:p w14:paraId="453FC302">
            <w:pPr>
              <w:spacing w:line="300" w:lineRule="exact"/>
              <w:rPr>
                <w:szCs w:val="21"/>
              </w:rPr>
            </w:pPr>
          </w:p>
        </w:tc>
        <w:tc>
          <w:tcPr>
            <w:tcW w:w="2268" w:type="dxa"/>
            <w:tcBorders>
              <w:left w:val="single" w:color="auto" w:sz="4" w:space="0"/>
            </w:tcBorders>
            <w:noWrap w:val="0"/>
            <w:vAlign w:val="center"/>
          </w:tcPr>
          <w:p w14:paraId="50491120">
            <w:pPr>
              <w:spacing w:line="300" w:lineRule="exact"/>
              <w:rPr>
                <w:szCs w:val="21"/>
              </w:rPr>
            </w:pPr>
          </w:p>
        </w:tc>
        <w:tc>
          <w:tcPr>
            <w:tcW w:w="2733" w:type="dxa"/>
            <w:noWrap w:val="0"/>
            <w:vAlign w:val="center"/>
          </w:tcPr>
          <w:p w14:paraId="4D32A31B">
            <w:pPr>
              <w:spacing w:line="300" w:lineRule="exact"/>
              <w:rPr>
                <w:szCs w:val="21"/>
              </w:rPr>
            </w:pPr>
          </w:p>
        </w:tc>
      </w:tr>
      <w:tr w14:paraId="23DE8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jc w:val="center"/>
        </w:trPr>
        <w:tc>
          <w:tcPr>
            <w:tcW w:w="866" w:type="dxa"/>
            <w:tcBorders>
              <w:right w:val="single" w:color="auto" w:sz="4" w:space="0"/>
            </w:tcBorders>
            <w:noWrap w:val="0"/>
            <w:vAlign w:val="center"/>
          </w:tcPr>
          <w:p w14:paraId="0DAB16F0">
            <w:pPr>
              <w:spacing w:line="300" w:lineRule="exact"/>
              <w:rPr>
                <w:szCs w:val="21"/>
              </w:rPr>
            </w:pPr>
          </w:p>
        </w:tc>
        <w:tc>
          <w:tcPr>
            <w:tcW w:w="3513" w:type="dxa"/>
            <w:tcBorders>
              <w:left w:val="single" w:color="auto" w:sz="4" w:space="0"/>
              <w:right w:val="single" w:color="auto" w:sz="4" w:space="0"/>
            </w:tcBorders>
            <w:noWrap w:val="0"/>
            <w:vAlign w:val="center"/>
          </w:tcPr>
          <w:p w14:paraId="10369442">
            <w:pPr>
              <w:spacing w:line="300" w:lineRule="exact"/>
              <w:rPr>
                <w:szCs w:val="21"/>
              </w:rPr>
            </w:pPr>
          </w:p>
        </w:tc>
        <w:tc>
          <w:tcPr>
            <w:tcW w:w="2268" w:type="dxa"/>
            <w:tcBorders>
              <w:left w:val="single" w:color="auto" w:sz="4" w:space="0"/>
            </w:tcBorders>
            <w:noWrap w:val="0"/>
            <w:vAlign w:val="center"/>
          </w:tcPr>
          <w:p w14:paraId="4BD71CD5">
            <w:pPr>
              <w:spacing w:line="300" w:lineRule="exact"/>
              <w:rPr>
                <w:szCs w:val="21"/>
              </w:rPr>
            </w:pPr>
          </w:p>
        </w:tc>
        <w:tc>
          <w:tcPr>
            <w:tcW w:w="2733" w:type="dxa"/>
            <w:noWrap w:val="0"/>
            <w:vAlign w:val="center"/>
          </w:tcPr>
          <w:p w14:paraId="4C0C1E90">
            <w:pPr>
              <w:spacing w:line="300" w:lineRule="exact"/>
              <w:rPr>
                <w:szCs w:val="21"/>
              </w:rPr>
            </w:pPr>
          </w:p>
        </w:tc>
      </w:tr>
      <w:tr w14:paraId="3BF4B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jc w:val="center"/>
        </w:trPr>
        <w:tc>
          <w:tcPr>
            <w:tcW w:w="866" w:type="dxa"/>
            <w:tcBorders>
              <w:right w:val="single" w:color="auto" w:sz="4" w:space="0"/>
            </w:tcBorders>
            <w:noWrap w:val="0"/>
            <w:vAlign w:val="center"/>
          </w:tcPr>
          <w:p w14:paraId="3BB28E2B">
            <w:pPr>
              <w:spacing w:line="300" w:lineRule="exact"/>
              <w:rPr>
                <w:szCs w:val="21"/>
              </w:rPr>
            </w:pPr>
          </w:p>
        </w:tc>
        <w:tc>
          <w:tcPr>
            <w:tcW w:w="3513" w:type="dxa"/>
            <w:tcBorders>
              <w:left w:val="single" w:color="auto" w:sz="4" w:space="0"/>
              <w:right w:val="single" w:color="auto" w:sz="4" w:space="0"/>
            </w:tcBorders>
            <w:noWrap w:val="0"/>
            <w:vAlign w:val="center"/>
          </w:tcPr>
          <w:p w14:paraId="78E0968B">
            <w:pPr>
              <w:spacing w:line="300" w:lineRule="exact"/>
              <w:rPr>
                <w:szCs w:val="21"/>
              </w:rPr>
            </w:pPr>
          </w:p>
        </w:tc>
        <w:tc>
          <w:tcPr>
            <w:tcW w:w="2268" w:type="dxa"/>
            <w:tcBorders>
              <w:left w:val="single" w:color="auto" w:sz="4" w:space="0"/>
            </w:tcBorders>
            <w:noWrap w:val="0"/>
            <w:vAlign w:val="center"/>
          </w:tcPr>
          <w:p w14:paraId="104CEF34">
            <w:pPr>
              <w:spacing w:line="300" w:lineRule="exact"/>
              <w:rPr>
                <w:szCs w:val="21"/>
              </w:rPr>
            </w:pPr>
          </w:p>
        </w:tc>
        <w:tc>
          <w:tcPr>
            <w:tcW w:w="2733" w:type="dxa"/>
            <w:noWrap w:val="0"/>
            <w:vAlign w:val="center"/>
          </w:tcPr>
          <w:p w14:paraId="2E25B2FA">
            <w:pPr>
              <w:spacing w:line="300" w:lineRule="exact"/>
              <w:rPr>
                <w:szCs w:val="21"/>
              </w:rPr>
            </w:pPr>
          </w:p>
        </w:tc>
      </w:tr>
      <w:tr w14:paraId="3CEEB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866" w:type="dxa"/>
            <w:tcBorders>
              <w:right w:val="single" w:color="auto" w:sz="4" w:space="0"/>
            </w:tcBorders>
            <w:noWrap w:val="0"/>
            <w:vAlign w:val="center"/>
          </w:tcPr>
          <w:p w14:paraId="3EAC0F38">
            <w:pPr>
              <w:spacing w:line="300" w:lineRule="exact"/>
              <w:rPr>
                <w:szCs w:val="21"/>
              </w:rPr>
            </w:pPr>
          </w:p>
        </w:tc>
        <w:tc>
          <w:tcPr>
            <w:tcW w:w="3513" w:type="dxa"/>
            <w:tcBorders>
              <w:left w:val="single" w:color="auto" w:sz="4" w:space="0"/>
              <w:right w:val="single" w:color="auto" w:sz="4" w:space="0"/>
            </w:tcBorders>
            <w:noWrap w:val="0"/>
            <w:vAlign w:val="center"/>
          </w:tcPr>
          <w:p w14:paraId="6FFD83ED">
            <w:pPr>
              <w:spacing w:line="300" w:lineRule="exact"/>
              <w:rPr>
                <w:szCs w:val="21"/>
              </w:rPr>
            </w:pPr>
          </w:p>
        </w:tc>
        <w:tc>
          <w:tcPr>
            <w:tcW w:w="2268" w:type="dxa"/>
            <w:tcBorders>
              <w:left w:val="single" w:color="auto" w:sz="4" w:space="0"/>
            </w:tcBorders>
            <w:noWrap w:val="0"/>
            <w:vAlign w:val="center"/>
          </w:tcPr>
          <w:p w14:paraId="1723C52A">
            <w:pPr>
              <w:spacing w:line="300" w:lineRule="exact"/>
              <w:rPr>
                <w:szCs w:val="21"/>
              </w:rPr>
            </w:pPr>
          </w:p>
        </w:tc>
        <w:tc>
          <w:tcPr>
            <w:tcW w:w="2733" w:type="dxa"/>
            <w:noWrap w:val="0"/>
            <w:vAlign w:val="center"/>
          </w:tcPr>
          <w:p w14:paraId="7DE07F7D">
            <w:pPr>
              <w:spacing w:line="300" w:lineRule="exact"/>
              <w:rPr>
                <w:szCs w:val="21"/>
              </w:rPr>
            </w:pPr>
          </w:p>
        </w:tc>
      </w:tr>
      <w:tr w14:paraId="08461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866" w:type="dxa"/>
            <w:tcBorders>
              <w:right w:val="single" w:color="auto" w:sz="4" w:space="0"/>
            </w:tcBorders>
            <w:noWrap w:val="0"/>
            <w:vAlign w:val="center"/>
          </w:tcPr>
          <w:p w14:paraId="6BC57AAC">
            <w:pPr>
              <w:spacing w:line="300" w:lineRule="exact"/>
              <w:rPr>
                <w:szCs w:val="21"/>
              </w:rPr>
            </w:pPr>
          </w:p>
        </w:tc>
        <w:tc>
          <w:tcPr>
            <w:tcW w:w="3513" w:type="dxa"/>
            <w:tcBorders>
              <w:left w:val="single" w:color="auto" w:sz="4" w:space="0"/>
              <w:right w:val="single" w:color="auto" w:sz="4" w:space="0"/>
            </w:tcBorders>
            <w:noWrap w:val="0"/>
            <w:vAlign w:val="center"/>
          </w:tcPr>
          <w:p w14:paraId="4000C5B9">
            <w:pPr>
              <w:spacing w:line="300" w:lineRule="exact"/>
              <w:rPr>
                <w:szCs w:val="21"/>
              </w:rPr>
            </w:pPr>
          </w:p>
        </w:tc>
        <w:tc>
          <w:tcPr>
            <w:tcW w:w="2268" w:type="dxa"/>
            <w:tcBorders>
              <w:left w:val="single" w:color="auto" w:sz="4" w:space="0"/>
            </w:tcBorders>
            <w:noWrap w:val="0"/>
            <w:vAlign w:val="center"/>
          </w:tcPr>
          <w:p w14:paraId="6F5443CA">
            <w:pPr>
              <w:spacing w:line="300" w:lineRule="exact"/>
              <w:rPr>
                <w:szCs w:val="21"/>
              </w:rPr>
            </w:pPr>
          </w:p>
        </w:tc>
        <w:tc>
          <w:tcPr>
            <w:tcW w:w="2733" w:type="dxa"/>
            <w:noWrap w:val="0"/>
            <w:vAlign w:val="center"/>
          </w:tcPr>
          <w:p w14:paraId="58E760E3">
            <w:pPr>
              <w:spacing w:line="300" w:lineRule="exact"/>
              <w:rPr>
                <w:szCs w:val="21"/>
              </w:rPr>
            </w:pPr>
          </w:p>
        </w:tc>
      </w:tr>
      <w:tr w14:paraId="6157B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866" w:type="dxa"/>
            <w:tcBorders>
              <w:right w:val="single" w:color="auto" w:sz="4" w:space="0"/>
            </w:tcBorders>
            <w:noWrap w:val="0"/>
            <w:vAlign w:val="center"/>
          </w:tcPr>
          <w:p w14:paraId="228EE027">
            <w:pPr>
              <w:spacing w:line="300" w:lineRule="exact"/>
              <w:rPr>
                <w:szCs w:val="21"/>
              </w:rPr>
            </w:pPr>
          </w:p>
        </w:tc>
        <w:tc>
          <w:tcPr>
            <w:tcW w:w="3513" w:type="dxa"/>
            <w:tcBorders>
              <w:left w:val="single" w:color="auto" w:sz="4" w:space="0"/>
              <w:right w:val="single" w:color="auto" w:sz="4" w:space="0"/>
            </w:tcBorders>
            <w:noWrap w:val="0"/>
            <w:vAlign w:val="center"/>
          </w:tcPr>
          <w:p w14:paraId="719D749F">
            <w:pPr>
              <w:spacing w:line="300" w:lineRule="exact"/>
              <w:rPr>
                <w:szCs w:val="21"/>
              </w:rPr>
            </w:pPr>
          </w:p>
        </w:tc>
        <w:tc>
          <w:tcPr>
            <w:tcW w:w="2268" w:type="dxa"/>
            <w:tcBorders>
              <w:left w:val="single" w:color="auto" w:sz="4" w:space="0"/>
            </w:tcBorders>
            <w:noWrap w:val="0"/>
            <w:vAlign w:val="center"/>
          </w:tcPr>
          <w:p w14:paraId="2EAD65AC">
            <w:pPr>
              <w:spacing w:line="300" w:lineRule="exact"/>
              <w:rPr>
                <w:szCs w:val="21"/>
              </w:rPr>
            </w:pPr>
          </w:p>
        </w:tc>
        <w:tc>
          <w:tcPr>
            <w:tcW w:w="2733" w:type="dxa"/>
            <w:noWrap w:val="0"/>
            <w:vAlign w:val="center"/>
          </w:tcPr>
          <w:p w14:paraId="73DFDAAE">
            <w:pPr>
              <w:spacing w:line="300" w:lineRule="exact"/>
              <w:rPr>
                <w:szCs w:val="21"/>
              </w:rPr>
            </w:pPr>
          </w:p>
        </w:tc>
      </w:tr>
      <w:tr w14:paraId="4D13B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866" w:type="dxa"/>
            <w:tcBorders>
              <w:right w:val="single" w:color="auto" w:sz="4" w:space="0"/>
            </w:tcBorders>
            <w:noWrap w:val="0"/>
            <w:vAlign w:val="center"/>
          </w:tcPr>
          <w:p w14:paraId="6A9F7E79">
            <w:pPr>
              <w:spacing w:line="300" w:lineRule="exact"/>
              <w:rPr>
                <w:szCs w:val="21"/>
              </w:rPr>
            </w:pPr>
          </w:p>
        </w:tc>
        <w:tc>
          <w:tcPr>
            <w:tcW w:w="3513" w:type="dxa"/>
            <w:tcBorders>
              <w:left w:val="single" w:color="auto" w:sz="4" w:space="0"/>
              <w:right w:val="single" w:color="auto" w:sz="4" w:space="0"/>
            </w:tcBorders>
            <w:noWrap w:val="0"/>
            <w:vAlign w:val="center"/>
          </w:tcPr>
          <w:p w14:paraId="112A1FB0">
            <w:pPr>
              <w:spacing w:line="300" w:lineRule="exact"/>
              <w:rPr>
                <w:szCs w:val="21"/>
              </w:rPr>
            </w:pPr>
          </w:p>
        </w:tc>
        <w:tc>
          <w:tcPr>
            <w:tcW w:w="2268" w:type="dxa"/>
            <w:tcBorders>
              <w:left w:val="single" w:color="auto" w:sz="4" w:space="0"/>
            </w:tcBorders>
            <w:noWrap w:val="0"/>
            <w:vAlign w:val="center"/>
          </w:tcPr>
          <w:p w14:paraId="657D73D4">
            <w:pPr>
              <w:spacing w:line="300" w:lineRule="exact"/>
              <w:rPr>
                <w:szCs w:val="21"/>
              </w:rPr>
            </w:pPr>
          </w:p>
        </w:tc>
        <w:tc>
          <w:tcPr>
            <w:tcW w:w="2733" w:type="dxa"/>
            <w:noWrap w:val="0"/>
            <w:vAlign w:val="center"/>
          </w:tcPr>
          <w:p w14:paraId="631A72B8">
            <w:pPr>
              <w:spacing w:line="300" w:lineRule="exact"/>
              <w:rPr>
                <w:szCs w:val="21"/>
              </w:rPr>
            </w:pPr>
          </w:p>
        </w:tc>
      </w:tr>
      <w:tr w14:paraId="062B1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jc w:val="center"/>
        </w:trPr>
        <w:tc>
          <w:tcPr>
            <w:tcW w:w="866" w:type="dxa"/>
            <w:tcBorders>
              <w:right w:val="single" w:color="auto" w:sz="4" w:space="0"/>
            </w:tcBorders>
            <w:noWrap w:val="0"/>
            <w:vAlign w:val="center"/>
          </w:tcPr>
          <w:p w14:paraId="4072DD30">
            <w:pPr>
              <w:spacing w:line="300" w:lineRule="exact"/>
              <w:rPr>
                <w:szCs w:val="21"/>
              </w:rPr>
            </w:pPr>
          </w:p>
        </w:tc>
        <w:tc>
          <w:tcPr>
            <w:tcW w:w="3513" w:type="dxa"/>
            <w:tcBorders>
              <w:left w:val="single" w:color="auto" w:sz="4" w:space="0"/>
              <w:right w:val="single" w:color="auto" w:sz="4" w:space="0"/>
            </w:tcBorders>
            <w:noWrap w:val="0"/>
            <w:vAlign w:val="center"/>
          </w:tcPr>
          <w:p w14:paraId="645848F2">
            <w:pPr>
              <w:spacing w:line="300" w:lineRule="exact"/>
              <w:rPr>
                <w:szCs w:val="21"/>
              </w:rPr>
            </w:pPr>
          </w:p>
        </w:tc>
        <w:tc>
          <w:tcPr>
            <w:tcW w:w="2268" w:type="dxa"/>
            <w:tcBorders>
              <w:left w:val="single" w:color="auto" w:sz="4" w:space="0"/>
            </w:tcBorders>
            <w:noWrap w:val="0"/>
            <w:vAlign w:val="center"/>
          </w:tcPr>
          <w:p w14:paraId="14EFA998">
            <w:pPr>
              <w:spacing w:line="300" w:lineRule="exact"/>
              <w:rPr>
                <w:szCs w:val="21"/>
              </w:rPr>
            </w:pPr>
          </w:p>
        </w:tc>
        <w:tc>
          <w:tcPr>
            <w:tcW w:w="2733" w:type="dxa"/>
            <w:noWrap w:val="0"/>
            <w:vAlign w:val="center"/>
          </w:tcPr>
          <w:p w14:paraId="7325D28D">
            <w:pPr>
              <w:spacing w:line="300" w:lineRule="exact"/>
              <w:rPr>
                <w:szCs w:val="21"/>
              </w:rPr>
            </w:pPr>
          </w:p>
        </w:tc>
      </w:tr>
      <w:tr w14:paraId="7FE04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866" w:type="dxa"/>
            <w:tcBorders>
              <w:right w:val="single" w:color="auto" w:sz="4" w:space="0"/>
            </w:tcBorders>
            <w:noWrap w:val="0"/>
            <w:vAlign w:val="center"/>
          </w:tcPr>
          <w:p w14:paraId="198D5FD6">
            <w:pPr>
              <w:spacing w:line="300" w:lineRule="exact"/>
              <w:rPr>
                <w:szCs w:val="21"/>
              </w:rPr>
            </w:pPr>
          </w:p>
        </w:tc>
        <w:tc>
          <w:tcPr>
            <w:tcW w:w="3513" w:type="dxa"/>
            <w:tcBorders>
              <w:left w:val="single" w:color="auto" w:sz="4" w:space="0"/>
              <w:right w:val="single" w:color="auto" w:sz="4" w:space="0"/>
            </w:tcBorders>
            <w:noWrap w:val="0"/>
            <w:vAlign w:val="center"/>
          </w:tcPr>
          <w:p w14:paraId="20C28CF8">
            <w:pPr>
              <w:spacing w:line="300" w:lineRule="exact"/>
              <w:rPr>
                <w:szCs w:val="21"/>
              </w:rPr>
            </w:pPr>
          </w:p>
        </w:tc>
        <w:tc>
          <w:tcPr>
            <w:tcW w:w="2268" w:type="dxa"/>
            <w:tcBorders>
              <w:left w:val="single" w:color="auto" w:sz="4" w:space="0"/>
            </w:tcBorders>
            <w:noWrap w:val="0"/>
            <w:vAlign w:val="center"/>
          </w:tcPr>
          <w:p w14:paraId="755ECBC4">
            <w:pPr>
              <w:spacing w:line="300" w:lineRule="exact"/>
              <w:rPr>
                <w:szCs w:val="21"/>
              </w:rPr>
            </w:pPr>
          </w:p>
        </w:tc>
        <w:tc>
          <w:tcPr>
            <w:tcW w:w="2733" w:type="dxa"/>
            <w:noWrap w:val="0"/>
            <w:vAlign w:val="center"/>
          </w:tcPr>
          <w:p w14:paraId="61C42928">
            <w:pPr>
              <w:spacing w:line="300" w:lineRule="exact"/>
              <w:rPr>
                <w:szCs w:val="21"/>
              </w:rPr>
            </w:pPr>
          </w:p>
        </w:tc>
      </w:tr>
      <w:tr w14:paraId="62094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866" w:type="dxa"/>
            <w:tcBorders>
              <w:right w:val="single" w:color="auto" w:sz="4" w:space="0"/>
            </w:tcBorders>
            <w:noWrap w:val="0"/>
            <w:vAlign w:val="center"/>
          </w:tcPr>
          <w:p w14:paraId="4728AAE1">
            <w:pPr>
              <w:spacing w:line="300" w:lineRule="exact"/>
              <w:rPr>
                <w:szCs w:val="21"/>
              </w:rPr>
            </w:pPr>
          </w:p>
        </w:tc>
        <w:tc>
          <w:tcPr>
            <w:tcW w:w="3513" w:type="dxa"/>
            <w:tcBorders>
              <w:left w:val="single" w:color="auto" w:sz="4" w:space="0"/>
              <w:right w:val="single" w:color="auto" w:sz="4" w:space="0"/>
            </w:tcBorders>
            <w:noWrap w:val="0"/>
            <w:vAlign w:val="center"/>
          </w:tcPr>
          <w:p w14:paraId="1F9DE334">
            <w:pPr>
              <w:spacing w:line="300" w:lineRule="exact"/>
              <w:rPr>
                <w:szCs w:val="21"/>
              </w:rPr>
            </w:pPr>
          </w:p>
        </w:tc>
        <w:tc>
          <w:tcPr>
            <w:tcW w:w="2268" w:type="dxa"/>
            <w:tcBorders>
              <w:left w:val="single" w:color="auto" w:sz="4" w:space="0"/>
            </w:tcBorders>
            <w:noWrap w:val="0"/>
            <w:vAlign w:val="center"/>
          </w:tcPr>
          <w:p w14:paraId="53F5D14C">
            <w:pPr>
              <w:spacing w:line="300" w:lineRule="exact"/>
              <w:rPr>
                <w:szCs w:val="21"/>
              </w:rPr>
            </w:pPr>
          </w:p>
        </w:tc>
        <w:tc>
          <w:tcPr>
            <w:tcW w:w="2733" w:type="dxa"/>
            <w:noWrap w:val="0"/>
            <w:vAlign w:val="center"/>
          </w:tcPr>
          <w:p w14:paraId="3D43311A">
            <w:pPr>
              <w:spacing w:line="300" w:lineRule="exact"/>
              <w:rPr>
                <w:szCs w:val="21"/>
              </w:rPr>
            </w:pPr>
          </w:p>
        </w:tc>
      </w:tr>
      <w:tr w14:paraId="5A4A4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866" w:type="dxa"/>
            <w:tcBorders>
              <w:right w:val="single" w:color="auto" w:sz="4" w:space="0"/>
            </w:tcBorders>
            <w:noWrap w:val="0"/>
            <w:vAlign w:val="center"/>
          </w:tcPr>
          <w:p w14:paraId="1947DD25">
            <w:pPr>
              <w:spacing w:line="300" w:lineRule="exact"/>
              <w:rPr>
                <w:szCs w:val="21"/>
              </w:rPr>
            </w:pPr>
          </w:p>
        </w:tc>
        <w:tc>
          <w:tcPr>
            <w:tcW w:w="3513" w:type="dxa"/>
            <w:tcBorders>
              <w:left w:val="single" w:color="auto" w:sz="4" w:space="0"/>
              <w:right w:val="single" w:color="auto" w:sz="4" w:space="0"/>
            </w:tcBorders>
            <w:noWrap w:val="0"/>
            <w:vAlign w:val="center"/>
          </w:tcPr>
          <w:p w14:paraId="7F3AF0A9">
            <w:pPr>
              <w:spacing w:line="300" w:lineRule="exact"/>
              <w:rPr>
                <w:szCs w:val="21"/>
              </w:rPr>
            </w:pPr>
          </w:p>
        </w:tc>
        <w:tc>
          <w:tcPr>
            <w:tcW w:w="2268" w:type="dxa"/>
            <w:tcBorders>
              <w:left w:val="single" w:color="auto" w:sz="4" w:space="0"/>
            </w:tcBorders>
            <w:noWrap w:val="0"/>
            <w:vAlign w:val="center"/>
          </w:tcPr>
          <w:p w14:paraId="58498EDE">
            <w:pPr>
              <w:spacing w:line="300" w:lineRule="exact"/>
              <w:rPr>
                <w:szCs w:val="21"/>
              </w:rPr>
            </w:pPr>
          </w:p>
        </w:tc>
        <w:tc>
          <w:tcPr>
            <w:tcW w:w="2733" w:type="dxa"/>
            <w:noWrap w:val="0"/>
            <w:vAlign w:val="center"/>
          </w:tcPr>
          <w:p w14:paraId="71D8E82C">
            <w:pPr>
              <w:spacing w:line="300" w:lineRule="exact"/>
              <w:rPr>
                <w:szCs w:val="21"/>
              </w:rPr>
            </w:pPr>
          </w:p>
        </w:tc>
      </w:tr>
    </w:tbl>
    <w:p w14:paraId="6DCE5A0B">
      <w:pPr>
        <w:spacing w:line="560" w:lineRule="exact"/>
        <w:ind w:firstLine="617" w:firstLineChars="294"/>
        <w:jc w:val="left"/>
        <w:rPr>
          <w:rFonts w:ascii="宋体" w:hAnsi="宋体"/>
          <w:szCs w:val="21"/>
        </w:rPr>
      </w:pPr>
      <w:r>
        <w:rPr>
          <w:rFonts w:hint="eastAsia" w:ascii="宋体" w:hAnsi="宋体"/>
          <w:szCs w:val="21"/>
        </w:rPr>
        <w:t>申请人：</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（法人/授权代理人签字）</w:t>
      </w:r>
    </w:p>
    <w:p w14:paraId="0BC50A34">
      <w:pPr>
        <w:spacing w:line="560" w:lineRule="exact"/>
        <w:ind w:firstLine="617" w:firstLineChars="294"/>
        <w:jc w:val="left"/>
        <w:rPr>
          <w:rFonts w:ascii="宋体" w:hAnsi="宋体"/>
          <w:szCs w:val="21"/>
        </w:rPr>
      </w:pPr>
      <w:r>
        <w:rPr>
          <w:rFonts w:hint="eastAsia" w:ascii="宋体" w:hAnsi="宋体"/>
          <w:szCs w:val="21"/>
        </w:rPr>
        <w:t>联系电话：</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（法人/授权代理人）</w:t>
      </w:r>
    </w:p>
    <w:p w14:paraId="6E6EECAA">
      <w:pPr>
        <w:spacing w:line="560" w:lineRule="exact"/>
        <w:ind w:firstLine="617" w:firstLineChars="294"/>
        <w:jc w:val="left"/>
        <w:rPr>
          <w:rFonts w:ascii="宋体" w:hAnsi="宋体"/>
          <w:szCs w:val="21"/>
        </w:rPr>
      </w:pPr>
      <w:r>
        <w:rPr>
          <w:rFonts w:hint="eastAsia" w:ascii="宋体" w:hAnsi="宋体"/>
          <w:szCs w:val="21"/>
        </w:rPr>
        <w:t>申请单位：</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r>
        <w:rPr>
          <w:rFonts w:hint="eastAsia" w:ascii="宋体" w:hAnsi="宋体"/>
          <w:szCs w:val="21"/>
          <w:lang w:val="en-US" w:eastAsia="zh-CN"/>
        </w:rPr>
        <w:t>事务所</w:t>
      </w:r>
      <w:r>
        <w:rPr>
          <w:rFonts w:hint="eastAsia" w:ascii="宋体" w:hAnsi="宋体"/>
          <w:szCs w:val="21"/>
        </w:rPr>
        <w:t>公章）</w:t>
      </w:r>
    </w:p>
    <w:p w14:paraId="1C6F2606">
      <w:pPr>
        <w:spacing w:line="560" w:lineRule="exact"/>
        <w:ind w:firstLine="617" w:firstLineChars="294"/>
        <w:jc w:val="left"/>
        <w:rPr>
          <w:rFonts w:ascii="宋体" w:hAnsi="宋体"/>
          <w:szCs w:val="21"/>
        </w:rPr>
      </w:pPr>
    </w:p>
    <w:p w14:paraId="5367A2A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rPr>
      </w:pPr>
      <w:r>
        <w:rPr>
          <w:b/>
          <w:sz w:val="24"/>
        </w:rPr>
        <w:br w:type="page"/>
      </w:r>
      <w:r>
        <w:rPr>
          <w:rFonts w:hint="eastAsia" w:ascii="仿宋" w:hAnsi="仿宋" w:eastAsia="仿宋" w:cs="仿宋"/>
          <w:b/>
          <w:bCs/>
          <w:sz w:val="36"/>
          <w:szCs w:val="36"/>
        </w:rPr>
        <w:t>填写说明</w:t>
      </w:r>
    </w:p>
    <w:p w14:paraId="507778F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rPr>
      </w:pPr>
    </w:p>
    <w:p w14:paraId="42DE3FD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一、供应商基本信息</w:t>
      </w:r>
    </w:p>
    <w:p w14:paraId="46D8D590">
      <w:pPr>
        <w:pStyle w:val="9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1．供应商名称：填写企业营业执照上的注册名称。</w:t>
      </w:r>
    </w:p>
    <w:p w14:paraId="25F0F341">
      <w:pPr>
        <w:pStyle w:val="9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2．所代理制造商名称：如代理其他公司制造的产品申请准入，填写该制造商企业营业执照上的注册名称。</w:t>
      </w:r>
    </w:p>
    <w:p w14:paraId="6074B3DE">
      <w:pPr>
        <w:pStyle w:val="9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FF0000"/>
          <w:sz w:val="28"/>
          <w:szCs w:val="28"/>
        </w:rPr>
      </w:pPr>
      <w:r>
        <w:rPr>
          <w:rFonts w:hint="eastAsia" w:ascii="仿宋" w:hAnsi="仿宋" w:eastAsia="仿宋" w:cs="仿宋"/>
          <w:sz w:val="28"/>
          <w:szCs w:val="28"/>
        </w:rPr>
        <w:t>3．统一社会信用代码和经营范围按照企业营业执照填写。</w:t>
      </w:r>
    </w:p>
    <w:p w14:paraId="255442DA">
      <w:pPr>
        <w:pStyle w:val="9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．获奖情况：填写</w:t>
      </w:r>
      <w:r>
        <w:rPr>
          <w:rFonts w:hint="eastAsia" w:ascii="仿宋" w:hAnsi="仿宋" w:eastAsia="仿宋" w:cs="仿宋"/>
          <w:sz w:val="28"/>
          <w:szCs w:val="28"/>
          <w:highlight w:val="yellow"/>
          <w:lang w:val="en-US" w:eastAsia="zh-CN"/>
        </w:rPr>
        <w:t>市</w:t>
      </w:r>
      <w:r>
        <w:rPr>
          <w:rFonts w:hint="eastAsia" w:ascii="仿宋" w:hAnsi="仿宋" w:eastAsia="仿宋" w:cs="仿宋"/>
          <w:sz w:val="28"/>
          <w:szCs w:val="28"/>
        </w:rPr>
        <w:t>级以上获奖情况等。</w:t>
      </w:r>
    </w:p>
    <w:p w14:paraId="62763767">
      <w:pPr>
        <w:pStyle w:val="9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地址、法定代表人姓名、注册资本、公司类型、成立时间、开户银行、银行帐号等：按照企业营业执照填写住所、法定代表人姓名、注册资本、公司类型、成立时间，按照开户许可证填写开户银行、银行帐号等。</w:t>
      </w:r>
    </w:p>
    <w:p w14:paraId="247473B9">
      <w:pPr>
        <w:pStyle w:val="9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．联系人、联系电话、电子邮箱：填写企业负责相关业务的人员姓名、联系电话（包括固定电话、移动电话以及公司对外联系电话等）及电子邮箱。</w:t>
      </w:r>
    </w:p>
    <w:p w14:paraId="6C828F9B">
      <w:pPr>
        <w:pStyle w:val="9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．公司网址：如有公司网站请填写公司网址。</w:t>
      </w:r>
    </w:p>
    <w:p w14:paraId="7D26A59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、申请人身份信息</w:t>
      </w:r>
    </w:p>
    <w:p w14:paraId="47524044">
      <w:pPr>
        <w:pStyle w:val="9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1.若填表申请人为法定代表人时，请提供法定代表人身份证复印件；</w:t>
      </w:r>
    </w:p>
    <w:p w14:paraId="0967AB60">
      <w:pPr>
        <w:pStyle w:val="96"/>
        <w:rPr>
          <w:rFonts w:hint="eastAsia" w:ascii="仿宋" w:hAnsi="仿宋" w:eastAsia="仿宋" w:cs="仿宋"/>
          <w:sz w:val="28"/>
          <w:szCs w:val="28"/>
        </w:rPr>
      </w:pPr>
      <w:r>
        <w:rPr>
          <w:rFonts w:hint="eastAsia" w:ascii="仿宋" w:hAnsi="仿宋" w:eastAsia="仿宋" w:cs="仿宋"/>
          <w:sz w:val="28"/>
          <w:szCs w:val="28"/>
        </w:rPr>
        <w:t>2.若填表申请人为授权代理人时，请提供授权</w:t>
      </w:r>
      <w:r>
        <w:rPr>
          <w:rFonts w:hint="eastAsia" w:ascii="仿宋" w:hAnsi="仿宋" w:eastAsia="仿宋" w:cs="仿宋"/>
          <w:sz w:val="28"/>
          <w:szCs w:val="28"/>
          <w:lang w:val="en-US" w:eastAsia="zh-CN"/>
        </w:rPr>
        <w:t>委托</w:t>
      </w:r>
      <w:r>
        <w:rPr>
          <w:rFonts w:hint="eastAsia" w:ascii="仿宋" w:hAnsi="仿宋" w:eastAsia="仿宋" w:cs="仿宋"/>
          <w:sz w:val="28"/>
          <w:szCs w:val="28"/>
        </w:rPr>
        <w:t>书及授权代理人身份证复印件。</w:t>
      </w:r>
    </w:p>
    <w:p w14:paraId="52483535">
      <w:pPr>
        <w:keepNext w:val="0"/>
        <w:keepLines w:val="0"/>
        <w:pageBreakBefore w:val="0"/>
        <w:widowControl w:val="0"/>
        <w:kinsoku/>
        <w:wordWrap/>
        <w:overflowPunct/>
        <w:topLinePunct w:val="0"/>
        <w:autoSpaceDE/>
        <w:autoSpaceDN/>
        <w:bidi w:val="0"/>
        <w:snapToGrid/>
        <w:spacing w:line="520" w:lineRule="exact"/>
        <w:jc w:val="left"/>
        <w:textAlignment w:val="auto"/>
        <w:rPr>
          <w:rFonts w:hint="eastAsia" w:ascii="方正黑体简体" w:eastAsia="方正黑体简体"/>
          <w:sz w:val="28"/>
          <w:szCs w:val="28"/>
        </w:rPr>
      </w:pPr>
    </w:p>
    <w:p w14:paraId="6F499C1B">
      <w:pPr>
        <w:keepNext w:val="0"/>
        <w:keepLines w:val="0"/>
        <w:pageBreakBefore w:val="0"/>
        <w:widowControl w:val="0"/>
        <w:kinsoku/>
        <w:wordWrap/>
        <w:overflowPunct/>
        <w:topLinePunct w:val="0"/>
        <w:autoSpaceDE/>
        <w:autoSpaceDN/>
        <w:bidi w:val="0"/>
        <w:snapToGrid/>
        <w:spacing w:line="520" w:lineRule="exact"/>
        <w:jc w:val="left"/>
        <w:textAlignment w:val="auto"/>
        <w:rPr>
          <w:rFonts w:hint="eastAsia" w:ascii="方正黑体简体" w:eastAsia="方正黑体简体"/>
          <w:sz w:val="28"/>
          <w:szCs w:val="28"/>
        </w:rPr>
      </w:pPr>
    </w:p>
    <w:p w14:paraId="14DF43BA">
      <w:pPr>
        <w:keepNext w:val="0"/>
        <w:keepLines w:val="0"/>
        <w:pageBreakBefore w:val="0"/>
        <w:widowControl w:val="0"/>
        <w:kinsoku/>
        <w:wordWrap/>
        <w:overflowPunct/>
        <w:topLinePunct w:val="0"/>
        <w:autoSpaceDE/>
        <w:autoSpaceDN/>
        <w:bidi w:val="0"/>
        <w:snapToGrid/>
        <w:spacing w:line="520" w:lineRule="exact"/>
        <w:jc w:val="left"/>
        <w:textAlignment w:val="auto"/>
        <w:rPr>
          <w:rFonts w:hint="eastAsia" w:ascii="方正黑体简体" w:eastAsia="方正黑体简体"/>
          <w:sz w:val="28"/>
          <w:szCs w:val="28"/>
        </w:rPr>
      </w:pPr>
    </w:p>
    <w:p w14:paraId="55BE1B37">
      <w:pPr>
        <w:keepNext w:val="0"/>
        <w:keepLines w:val="0"/>
        <w:pageBreakBefore w:val="0"/>
        <w:widowControl w:val="0"/>
        <w:kinsoku/>
        <w:wordWrap/>
        <w:overflowPunct/>
        <w:topLinePunct w:val="0"/>
        <w:autoSpaceDE/>
        <w:autoSpaceDN/>
        <w:bidi w:val="0"/>
        <w:snapToGrid/>
        <w:spacing w:line="520" w:lineRule="exact"/>
        <w:jc w:val="left"/>
        <w:textAlignment w:val="auto"/>
        <w:rPr>
          <w:rFonts w:hint="eastAsia" w:ascii="方正黑体简体" w:eastAsia="方正黑体简体"/>
          <w:sz w:val="28"/>
          <w:szCs w:val="28"/>
        </w:rPr>
      </w:pPr>
    </w:p>
    <w:p w14:paraId="43E304E1">
      <w:pPr>
        <w:keepNext w:val="0"/>
        <w:keepLines w:val="0"/>
        <w:pageBreakBefore w:val="0"/>
        <w:widowControl w:val="0"/>
        <w:kinsoku/>
        <w:wordWrap/>
        <w:overflowPunct/>
        <w:topLinePunct w:val="0"/>
        <w:autoSpaceDE/>
        <w:autoSpaceDN/>
        <w:bidi w:val="0"/>
        <w:snapToGrid/>
        <w:spacing w:line="520" w:lineRule="exact"/>
        <w:jc w:val="left"/>
        <w:textAlignment w:val="auto"/>
        <w:rPr>
          <w:rFonts w:hint="eastAsia" w:ascii="方正黑体简体" w:eastAsia="方正黑体简体"/>
          <w:sz w:val="28"/>
          <w:szCs w:val="28"/>
        </w:rPr>
      </w:pPr>
    </w:p>
    <w:p w14:paraId="1AD9EFFF">
      <w:pPr>
        <w:keepNext w:val="0"/>
        <w:keepLines w:val="0"/>
        <w:pageBreakBefore w:val="0"/>
        <w:widowControl w:val="0"/>
        <w:kinsoku/>
        <w:wordWrap/>
        <w:overflowPunct/>
        <w:topLinePunct w:val="0"/>
        <w:autoSpaceDE/>
        <w:autoSpaceDN/>
        <w:bidi w:val="0"/>
        <w:snapToGrid/>
        <w:spacing w:line="520" w:lineRule="exact"/>
        <w:jc w:val="left"/>
        <w:textAlignment w:val="auto"/>
        <w:rPr>
          <w:rFonts w:hint="eastAsia" w:ascii="方正黑体简体" w:eastAsia="方正黑体简体"/>
          <w:sz w:val="28"/>
          <w:szCs w:val="28"/>
        </w:rPr>
      </w:pPr>
    </w:p>
    <w:p w14:paraId="5179B238">
      <w:pPr>
        <w:keepNext w:val="0"/>
        <w:keepLines w:val="0"/>
        <w:pageBreakBefore w:val="0"/>
        <w:widowControl w:val="0"/>
        <w:kinsoku/>
        <w:wordWrap/>
        <w:overflowPunct/>
        <w:topLinePunct w:val="0"/>
        <w:autoSpaceDE/>
        <w:autoSpaceDN/>
        <w:bidi w:val="0"/>
        <w:snapToGrid/>
        <w:spacing w:line="520" w:lineRule="exact"/>
        <w:jc w:val="left"/>
        <w:textAlignment w:val="auto"/>
        <w:rPr>
          <w:rFonts w:hint="eastAsia" w:ascii="方正黑体简体" w:eastAsia="方正黑体简体"/>
          <w:sz w:val="28"/>
          <w:szCs w:val="28"/>
        </w:rPr>
      </w:pPr>
    </w:p>
    <w:p w14:paraId="71D3C3CD">
      <w:pPr>
        <w:keepNext w:val="0"/>
        <w:keepLines w:val="0"/>
        <w:pageBreakBefore w:val="0"/>
        <w:widowControl w:val="0"/>
        <w:kinsoku/>
        <w:wordWrap/>
        <w:overflowPunct/>
        <w:topLinePunct w:val="0"/>
        <w:autoSpaceDE/>
        <w:autoSpaceDN/>
        <w:bidi w:val="0"/>
        <w:snapToGrid/>
        <w:spacing w:line="520" w:lineRule="exact"/>
        <w:jc w:val="left"/>
        <w:textAlignment w:val="auto"/>
        <w:rPr>
          <w:rFonts w:hint="eastAsia" w:ascii="方正小标宋简体" w:eastAsia="方正黑体简体"/>
          <w:sz w:val="28"/>
          <w:szCs w:val="28"/>
          <w:lang w:eastAsia="zh-CN"/>
        </w:rPr>
      </w:pPr>
      <w:r>
        <w:rPr>
          <w:rFonts w:hint="eastAsia" w:ascii="方正黑体简体" w:eastAsia="方正黑体简体"/>
          <w:sz w:val="28"/>
          <w:szCs w:val="28"/>
        </w:rPr>
        <w:t>附录</w:t>
      </w:r>
      <w:r>
        <w:rPr>
          <w:rFonts w:hint="eastAsia" w:ascii="方正黑体简体" w:eastAsia="方正黑体简体"/>
          <w:sz w:val="28"/>
          <w:szCs w:val="28"/>
          <w:lang w:val="en-US" w:eastAsia="zh-CN"/>
        </w:rPr>
        <w:t>2</w:t>
      </w:r>
    </w:p>
    <w:p w14:paraId="4A5660F7">
      <w:pPr>
        <w:keepNext w:val="0"/>
        <w:keepLines w:val="0"/>
        <w:pageBreakBefore w:val="0"/>
        <w:widowControl w:val="0"/>
        <w:kinsoku/>
        <w:wordWrap/>
        <w:overflowPunct/>
        <w:topLinePunct w:val="0"/>
        <w:autoSpaceDE/>
        <w:autoSpaceDN/>
        <w:bidi w:val="0"/>
        <w:snapToGrid/>
        <w:spacing w:line="520" w:lineRule="exact"/>
        <w:jc w:val="center"/>
        <w:textAlignment w:val="auto"/>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广汉市中医医院</w:t>
      </w:r>
    </w:p>
    <w:p w14:paraId="57607677">
      <w:pPr>
        <w:keepNext w:val="0"/>
        <w:keepLines w:val="0"/>
        <w:pageBreakBefore w:val="0"/>
        <w:widowControl w:val="0"/>
        <w:kinsoku/>
        <w:wordWrap/>
        <w:overflowPunct/>
        <w:topLinePunct w:val="0"/>
        <w:autoSpaceDE/>
        <w:autoSpaceDN/>
        <w:bidi w:val="0"/>
        <w:snapToGrid/>
        <w:spacing w:line="520" w:lineRule="exact"/>
        <w:jc w:val="center"/>
        <w:textAlignment w:val="auto"/>
        <w:rPr>
          <w:rFonts w:ascii="方正仿宋简体" w:hAnsi="宋体" w:eastAsia="方正仿宋简体"/>
          <w:sz w:val="28"/>
          <w:szCs w:val="28"/>
        </w:rPr>
      </w:pPr>
      <w:r>
        <w:rPr>
          <w:rFonts w:hint="eastAsia" w:ascii="方正小标宋简体" w:eastAsia="方正小标宋简体"/>
          <w:sz w:val="36"/>
          <w:szCs w:val="36"/>
        </w:rPr>
        <w:t>供应商准入承诺书</w:t>
      </w:r>
    </w:p>
    <w:p w14:paraId="40FFF120">
      <w:pPr>
        <w:keepNext w:val="0"/>
        <w:keepLines w:val="0"/>
        <w:pageBreakBefore w:val="0"/>
        <w:widowControl w:val="0"/>
        <w:kinsoku/>
        <w:wordWrap/>
        <w:overflowPunct/>
        <w:topLinePunct w:val="0"/>
        <w:autoSpaceDE/>
        <w:autoSpaceDN/>
        <w:bidi w:val="0"/>
        <w:adjustRightInd w:val="0"/>
        <w:snapToGrid/>
        <w:spacing w:line="520" w:lineRule="exact"/>
        <w:textAlignment w:val="auto"/>
        <w:rPr>
          <w:rFonts w:ascii="方正仿宋简体" w:hAnsi="宋体" w:eastAsia="方正仿宋简体"/>
          <w:sz w:val="28"/>
          <w:szCs w:val="28"/>
        </w:rPr>
      </w:pPr>
      <w:r>
        <w:rPr>
          <w:rFonts w:hint="eastAsia" w:ascii="方正仿宋简体" w:hAnsi="宋体" w:eastAsia="方正仿宋简体"/>
          <w:sz w:val="28"/>
          <w:szCs w:val="28"/>
        </w:rPr>
        <w:t>广汉市中医医院：</w:t>
      </w:r>
    </w:p>
    <w:p w14:paraId="17E53582">
      <w:pPr>
        <w:keepNext w:val="0"/>
        <w:keepLines w:val="0"/>
        <w:pageBreakBefore w:val="0"/>
        <w:widowControl w:val="0"/>
        <w:kinsoku/>
        <w:wordWrap/>
        <w:overflowPunct/>
        <w:topLinePunct w:val="0"/>
        <w:autoSpaceDE/>
        <w:autoSpaceDN/>
        <w:bidi w:val="0"/>
        <w:adjustRightInd w:val="0"/>
        <w:snapToGrid/>
        <w:spacing w:line="520" w:lineRule="exact"/>
        <w:textAlignment w:val="auto"/>
        <w:rPr>
          <w:rFonts w:ascii="方正仿宋简体" w:hAnsi="宋体" w:eastAsia="方正仿宋简体"/>
          <w:sz w:val="28"/>
          <w:szCs w:val="28"/>
        </w:rPr>
      </w:pPr>
      <w:r>
        <w:rPr>
          <w:rFonts w:hint="eastAsia" w:ascii="方正仿宋简体" w:hAnsi="宋体" w:eastAsia="方正仿宋简体"/>
          <w:sz w:val="28"/>
          <w:szCs w:val="28"/>
        </w:rPr>
        <w:t xml:space="preserve">    我单位自愿为贵</w:t>
      </w:r>
      <w:r>
        <w:rPr>
          <w:rFonts w:hint="eastAsia" w:ascii="方正仿宋简体" w:hAnsi="宋体" w:eastAsia="方正仿宋简体"/>
          <w:sz w:val="28"/>
          <w:szCs w:val="28"/>
          <w:lang w:val="en-US" w:eastAsia="zh-CN"/>
        </w:rPr>
        <w:t>单位</w:t>
      </w:r>
      <w:r>
        <w:rPr>
          <w:rFonts w:hint="eastAsia" w:ascii="方正仿宋简体" w:hAnsi="宋体" w:eastAsia="方正仿宋简体"/>
          <w:sz w:val="28"/>
          <w:szCs w:val="28"/>
        </w:rPr>
        <w:t>提供</w:t>
      </w:r>
      <w:r>
        <w:rPr>
          <w:rFonts w:hint="eastAsia" w:ascii="方正仿宋简体" w:hAnsi="宋体" w:eastAsia="方正仿宋简体"/>
          <w:sz w:val="28"/>
          <w:szCs w:val="28"/>
          <w:lang w:val="en-US" w:eastAsia="zh-CN"/>
        </w:rPr>
        <w:t>法律咨询及服务</w:t>
      </w:r>
      <w:r>
        <w:rPr>
          <w:rFonts w:hint="eastAsia" w:ascii="方正仿宋简体" w:hAnsi="宋体" w:eastAsia="方正仿宋简体"/>
          <w:sz w:val="28"/>
          <w:szCs w:val="28"/>
        </w:rPr>
        <w:t>等相关服务，并承诺：</w:t>
      </w:r>
    </w:p>
    <w:p w14:paraId="4F779817">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一、接受并积极配合</w:t>
      </w:r>
      <w:r>
        <w:rPr>
          <w:rFonts w:hint="eastAsia" w:ascii="方正仿宋简体" w:hAnsi="宋体" w:eastAsia="方正仿宋简体"/>
          <w:sz w:val="28"/>
          <w:szCs w:val="28"/>
          <w:lang w:val="en-US" w:eastAsia="zh-CN"/>
        </w:rPr>
        <w:t>贵院</w:t>
      </w:r>
      <w:r>
        <w:rPr>
          <w:rFonts w:hint="eastAsia" w:ascii="方正仿宋简体" w:hAnsi="宋体" w:eastAsia="方正仿宋简体"/>
          <w:sz w:val="28"/>
          <w:szCs w:val="28"/>
        </w:rPr>
        <w:t>为核实准入资格所做的一切合法的调查、核实、考核工作，保证在</w:t>
      </w:r>
      <w:r>
        <w:rPr>
          <w:rFonts w:hint="eastAsia" w:ascii="方正仿宋简体" w:hAnsi="宋体" w:eastAsia="方正仿宋简体"/>
          <w:sz w:val="28"/>
          <w:szCs w:val="28"/>
          <w:lang w:val="en-US" w:eastAsia="zh-CN"/>
        </w:rPr>
        <w:t>贵院</w:t>
      </w:r>
      <w:r>
        <w:rPr>
          <w:rFonts w:hint="eastAsia" w:ascii="方正仿宋简体" w:hAnsi="宋体" w:eastAsia="方正仿宋简体"/>
          <w:sz w:val="28"/>
          <w:szCs w:val="28"/>
        </w:rPr>
        <w:t>批准的准入范围内进行合法经营活动；</w:t>
      </w:r>
    </w:p>
    <w:p w14:paraId="2241C932">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二、我</w:t>
      </w:r>
      <w:r>
        <w:rPr>
          <w:rFonts w:hint="eastAsia" w:ascii="方正仿宋简体" w:hAnsi="宋体" w:eastAsia="方正仿宋简体"/>
          <w:sz w:val="28"/>
          <w:szCs w:val="28"/>
          <w:lang w:eastAsia="zh-CN"/>
        </w:rPr>
        <w:t>单位</w:t>
      </w:r>
      <w:r>
        <w:rPr>
          <w:rFonts w:hint="eastAsia" w:ascii="方正仿宋简体" w:hAnsi="宋体" w:eastAsia="方正仿宋简体"/>
          <w:sz w:val="28"/>
          <w:szCs w:val="28"/>
          <w:lang w:val="en-US" w:eastAsia="zh-CN"/>
        </w:rPr>
        <w:t>所</w:t>
      </w:r>
      <w:r>
        <w:rPr>
          <w:rFonts w:hint="eastAsia" w:ascii="方正仿宋简体" w:hAnsi="宋体" w:eastAsia="方正仿宋简体"/>
          <w:sz w:val="28"/>
          <w:szCs w:val="28"/>
        </w:rPr>
        <w:t>具有良好的商业信誉，近三年经营活动中无违法记录和重大法律纠纷；</w:t>
      </w:r>
    </w:p>
    <w:p w14:paraId="5FD3A2C8">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rPr>
        <w:t>三、我</w:t>
      </w:r>
      <w:r>
        <w:rPr>
          <w:rFonts w:hint="eastAsia" w:ascii="方正仿宋简体" w:hAnsi="宋体" w:eastAsia="方正仿宋简体"/>
          <w:sz w:val="28"/>
          <w:szCs w:val="28"/>
          <w:lang w:eastAsia="zh-CN"/>
        </w:rPr>
        <w:t>单位</w:t>
      </w:r>
      <w:r>
        <w:rPr>
          <w:rFonts w:hint="eastAsia" w:ascii="方正仿宋简体" w:hAnsi="宋体" w:eastAsia="方正仿宋简体"/>
          <w:sz w:val="28"/>
          <w:szCs w:val="28"/>
          <w:lang w:val="en-US" w:eastAsia="zh-CN"/>
        </w:rPr>
        <w:t>所承诺遵守国家法律法规，</w:t>
      </w:r>
      <w:r>
        <w:rPr>
          <w:rFonts w:hint="eastAsia" w:ascii="方正仿宋简体" w:hAnsi="宋体" w:eastAsia="方正仿宋简体"/>
          <w:sz w:val="28"/>
          <w:szCs w:val="28"/>
        </w:rPr>
        <w:t>近三年在国家、行业、以及地方政府监督检查中无不合格情况；</w:t>
      </w:r>
    </w:p>
    <w:p w14:paraId="463849CF">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lang w:val="en-US" w:eastAsia="zh-CN"/>
        </w:rPr>
        <w:t>四</w:t>
      </w:r>
      <w:r>
        <w:rPr>
          <w:rFonts w:hint="eastAsia" w:ascii="方正仿宋简体" w:hAnsi="宋体" w:eastAsia="方正仿宋简体"/>
          <w:sz w:val="28"/>
          <w:szCs w:val="28"/>
        </w:rPr>
        <w:t>、接受并积极配合贵</w:t>
      </w:r>
      <w:r>
        <w:rPr>
          <w:rFonts w:hint="eastAsia" w:ascii="方正仿宋简体" w:hAnsi="宋体" w:eastAsia="方正仿宋简体"/>
          <w:sz w:val="28"/>
          <w:szCs w:val="28"/>
          <w:lang w:eastAsia="zh-CN"/>
        </w:rPr>
        <w:t>单位</w:t>
      </w:r>
      <w:r>
        <w:rPr>
          <w:rFonts w:hint="eastAsia" w:ascii="方正仿宋简体" w:hAnsi="宋体" w:eastAsia="方正仿宋简体"/>
          <w:sz w:val="28"/>
          <w:szCs w:val="28"/>
        </w:rPr>
        <w:t>为保证</w:t>
      </w:r>
      <w:r>
        <w:rPr>
          <w:rFonts w:hint="eastAsia" w:ascii="方正仿宋简体" w:hAnsi="宋体" w:eastAsia="方正仿宋简体"/>
          <w:sz w:val="28"/>
          <w:szCs w:val="28"/>
          <w:lang w:val="en-US" w:eastAsia="zh-CN"/>
        </w:rPr>
        <w:t>法律服务质量而进行的监督</w:t>
      </w:r>
      <w:r>
        <w:rPr>
          <w:rFonts w:hint="eastAsia" w:ascii="方正仿宋简体" w:hAnsi="宋体" w:eastAsia="方正仿宋简体"/>
          <w:sz w:val="28"/>
          <w:szCs w:val="28"/>
        </w:rPr>
        <w:t>。</w:t>
      </w:r>
    </w:p>
    <w:p w14:paraId="2AF98741">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lang w:val="en-US" w:eastAsia="zh-CN"/>
        </w:rPr>
        <w:t>五</w:t>
      </w:r>
      <w:r>
        <w:rPr>
          <w:rFonts w:hint="eastAsia" w:ascii="方正仿宋简体" w:hAnsi="宋体" w:eastAsia="方正仿宋简体"/>
          <w:sz w:val="28"/>
          <w:szCs w:val="28"/>
        </w:rPr>
        <w:t>、对</w:t>
      </w:r>
      <w:r>
        <w:rPr>
          <w:rFonts w:hint="eastAsia" w:ascii="方正仿宋简体" w:hAnsi="宋体" w:eastAsia="方正仿宋简体"/>
          <w:sz w:val="28"/>
          <w:szCs w:val="28"/>
          <w:lang w:val="en-US" w:eastAsia="zh-CN"/>
        </w:rPr>
        <w:t>贵院提出的日常法律咨询及时提供解答</w:t>
      </w:r>
      <w:r>
        <w:rPr>
          <w:rFonts w:hint="eastAsia" w:ascii="方正仿宋简体" w:hAnsi="宋体" w:eastAsia="方正仿宋简体"/>
          <w:sz w:val="28"/>
          <w:szCs w:val="28"/>
        </w:rPr>
        <w:t>。</w:t>
      </w:r>
    </w:p>
    <w:p w14:paraId="49FB9E5E">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lang w:val="en-US" w:eastAsia="zh-CN"/>
        </w:rPr>
        <w:t>六</w:t>
      </w:r>
      <w:r>
        <w:rPr>
          <w:rFonts w:hint="eastAsia" w:ascii="方正仿宋简体" w:hAnsi="宋体" w:eastAsia="方正仿宋简体"/>
          <w:sz w:val="28"/>
          <w:szCs w:val="28"/>
        </w:rPr>
        <w:t>、遵守贵</w:t>
      </w:r>
      <w:r>
        <w:rPr>
          <w:rFonts w:hint="eastAsia" w:ascii="方正仿宋简体" w:hAnsi="宋体" w:eastAsia="方正仿宋简体"/>
          <w:sz w:val="28"/>
          <w:szCs w:val="28"/>
          <w:lang w:eastAsia="zh-CN"/>
        </w:rPr>
        <w:t>单</w:t>
      </w:r>
      <w:r>
        <w:rPr>
          <w:rFonts w:hint="eastAsia" w:ascii="方正仿宋简体" w:hAnsi="宋体" w:eastAsia="方正仿宋简体"/>
          <w:sz w:val="28"/>
          <w:szCs w:val="28"/>
          <w:lang w:val="en-US" w:eastAsia="zh-CN"/>
        </w:rPr>
        <w:t>院</w:t>
      </w:r>
      <w:r>
        <w:rPr>
          <w:rFonts w:hint="eastAsia" w:ascii="方正仿宋简体" w:hAnsi="宋体" w:eastAsia="方正仿宋简体"/>
          <w:sz w:val="28"/>
          <w:szCs w:val="28"/>
        </w:rPr>
        <w:t>关于供应商管理相关规定，</w:t>
      </w:r>
      <w:r>
        <w:rPr>
          <w:rFonts w:hint="eastAsia" w:ascii="方正仿宋简体" w:hAnsi="宋体" w:eastAsia="方正仿宋简体"/>
          <w:sz w:val="28"/>
          <w:szCs w:val="28"/>
          <w:lang w:val="en-US" w:eastAsia="zh-CN"/>
        </w:rPr>
        <w:t>贵院</w:t>
      </w:r>
      <w:r>
        <w:rPr>
          <w:rFonts w:hint="eastAsia" w:ascii="方正仿宋简体" w:hAnsi="宋体" w:eastAsia="方正仿宋简体"/>
          <w:sz w:val="28"/>
          <w:szCs w:val="28"/>
        </w:rPr>
        <w:t>有权随时对我</w:t>
      </w:r>
      <w:r>
        <w:rPr>
          <w:rFonts w:hint="eastAsia" w:ascii="方正仿宋简体" w:hAnsi="宋体" w:eastAsia="方正仿宋简体"/>
          <w:sz w:val="28"/>
          <w:szCs w:val="28"/>
          <w:lang w:eastAsia="zh-CN"/>
        </w:rPr>
        <w:t>单位</w:t>
      </w:r>
      <w:r>
        <w:rPr>
          <w:rFonts w:hint="eastAsia" w:ascii="方正仿宋简体" w:hAnsi="宋体" w:eastAsia="方正仿宋简体"/>
          <w:sz w:val="28"/>
          <w:szCs w:val="28"/>
        </w:rPr>
        <w:t>经营状况、资质、能力等进行必要的考察、核实。我</w:t>
      </w:r>
      <w:r>
        <w:rPr>
          <w:rFonts w:hint="eastAsia" w:ascii="方正仿宋简体" w:hAnsi="宋体" w:eastAsia="方正仿宋简体"/>
          <w:sz w:val="28"/>
          <w:szCs w:val="28"/>
          <w:lang w:eastAsia="zh-CN"/>
        </w:rPr>
        <w:t>单位</w:t>
      </w:r>
      <w:r>
        <w:rPr>
          <w:rFonts w:hint="eastAsia" w:ascii="方正仿宋简体" w:hAnsi="宋体" w:eastAsia="方正仿宋简体"/>
          <w:sz w:val="28"/>
          <w:szCs w:val="28"/>
        </w:rPr>
        <w:t>经考察/考核后如不具有相关资质和能力，贵</w:t>
      </w:r>
      <w:r>
        <w:rPr>
          <w:rFonts w:hint="eastAsia" w:ascii="方正仿宋简体" w:hAnsi="宋体" w:eastAsia="方正仿宋简体"/>
          <w:sz w:val="28"/>
          <w:szCs w:val="28"/>
          <w:lang w:val="en-US" w:eastAsia="zh-CN"/>
        </w:rPr>
        <w:t>院</w:t>
      </w:r>
      <w:r>
        <w:rPr>
          <w:rFonts w:hint="eastAsia" w:ascii="方正仿宋简体" w:hAnsi="宋体" w:eastAsia="方正仿宋简体"/>
          <w:sz w:val="28"/>
          <w:szCs w:val="28"/>
        </w:rPr>
        <w:t>有权取消准入资格。</w:t>
      </w:r>
    </w:p>
    <w:p w14:paraId="607766B0">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ascii="方正仿宋简体" w:hAnsi="宋体" w:eastAsia="方正仿宋简体"/>
          <w:sz w:val="28"/>
          <w:szCs w:val="28"/>
        </w:rPr>
      </w:pPr>
      <w:r>
        <w:rPr>
          <w:rFonts w:hint="eastAsia" w:ascii="方正仿宋简体" w:hAnsi="宋体" w:eastAsia="方正仿宋简体"/>
          <w:sz w:val="28"/>
          <w:szCs w:val="28"/>
          <w:lang w:val="en-US" w:eastAsia="zh-CN"/>
        </w:rPr>
        <w:t>七</w:t>
      </w:r>
      <w:r>
        <w:rPr>
          <w:rFonts w:hint="eastAsia" w:ascii="方正仿宋简体" w:hAnsi="宋体" w:eastAsia="方正仿宋简体"/>
          <w:sz w:val="28"/>
          <w:szCs w:val="28"/>
        </w:rPr>
        <w:t>、我</w:t>
      </w:r>
      <w:r>
        <w:rPr>
          <w:rFonts w:hint="eastAsia" w:ascii="方正仿宋简体" w:hAnsi="宋体" w:eastAsia="方正仿宋简体"/>
          <w:sz w:val="28"/>
          <w:szCs w:val="28"/>
          <w:lang w:eastAsia="zh-CN"/>
        </w:rPr>
        <w:t>单位</w:t>
      </w:r>
      <w:r>
        <w:rPr>
          <w:rFonts w:hint="eastAsia" w:ascii="方正仿宋简体" w:hAnsi="宋体" w:eastAsia="方正仿宋简体"/>
          <w:sz w:val="28"/>
          <w:szCs w:val="28"/>
        </w:rPr>
        <w:t>承诺遵守国家相关法律法规，在</w:t>
      </w:r>
      <w:r>
        <w:rPr>
          <w:rFonts w:hint="eastAsia" w:ascii="方正仿宋简体" w:hAnsi="宋体" w:eastAsia="方正仿宋简体"/>
          <w:sz w:val="28"/>
          <w:szCs w:val="28"/>
          <w:lang w:val="en-US" w:eastAsia="zh-CN"/>
        </w:rPr>
        <w:t>提供法律服务活动</w:t>
      </w:r>
      <w:r>
        <w:rPr>
          <w:rFonts w:hint="eastAsia" w:ascii="方正仿宋简体" w:hAnsi="宋体" w:eastAsia="方正仿宋简体"/>
          <w:sz w:val="28"/>
          <w:szCs w:val="28"/>
        </w:rPr>
        <w:t>中遵守职业道德，不以任何形式、任何理由向贵</w:t>
      </w:r>
      <w:r>
        <w:rPr>
          <w:rFonts w:hint="eastAsia" w:ascii="方正仿宋简体" w:hAnsi="宋体" w:eastAsia="方正仿宋简体"/>
          <w:sz w:val="28"/>
          <w:szCs w:val="28"/>
          <w:lang w:val="en-US" w:eastAsia="zh-CN"/>
        </w:rPr>
        <w:t>院职工</w:t>
      </w:r>
      <w:r>
        <w:rPr>
          <w:rFonts w:hint="eastAsia" w:ascii="方正仿宋简体" w:hAnsi="宋体" w:eastAsia="方正仿宋简体"/>
          <w:sz w:val="28"/>
          <w:szCs w:val="28"/>
        </w:rPr>
        <w:t>提供个人佣金、回扣、礼金礼券和贵重物品等不正当行为，也不为贵</w:t>
      </w:r>
      <w:r>
        <w:rPr>
          <w:rFonts w:hint="eastAsia" w:ascii="方正仿宋简体" w:hAnsi="宋体" w:eastAsia="方正仿宋简体"/>
          <w:sz w:val="28"/>
          <w:szCs w:val="28"/>
          <w:lang w:val="en-US" w:eastAsia="zh-CN"/>
        </w:rPr>
        <w:t>院</w:t>
      </w:r>
      <w:r>
        <w:rPr>
          <w:rFonts w:hint="eastAsia" w:ascii="方正仿宋简体" w:hAnsi="宋体" w:eastAsia="方正仿宋简体"/>
          <w:sz w:val="28"/>
          <w:szCs w:val="28"/>
        </w:rPr>
        <w:t>员工安排高消费娱乐活动。如贵</w:t>
      </w:r>
      <w:r>
        <w:rPr>
          <w:rFonts w:hint="eastAsia" w:ascii="方正仿宋简体" w:hAnsi="宋体" w:eastAsia="方正仿宋简体"/>
          <w:sz w:val="28"/>
          <w:szCs w:val="28"/>
          <w:lang w:val="en-US" w:eastAsia="zh-CN"/>
        </w:rPr>
        <w:t>院</w:t>
      </w:r>
      <w:r>
        <w:rPr>
          <w:rFonts w:hint="eastAsia" w:ascii="方正仿宋简体" w:hAnsi="宋体" w:eastAsia="方正仿宋简体"/>
          <w:sz w:val="28"/>
          <w:szCs w:val="28"/>
        </w:rPr>
        <w:t>发现我</w:t>
      </w:r>
      <w:r>
        <w:rPr>
          <w:rFonts w:hint="eastAsia" w:ascii="方正仿宋简体" w:hAnsi="宋体" w:eastAsia="方正仿宋简体"/>
          <w:sz w:val="28"/>
          <w:szCs w:val="28"/>
          <w:lang w:eastAsia="zh-CN"/>
        </w:rPr>
        <w:t>单位</w:t>
      </w:r>
      <w:r>
        <w:rPr>
          <w:rFonts w:hint="eastAsia" w:ascii="方正仿宋简体" w:hAnsi="宋体" w:eastAsia="方正仿宋简体"/>
          <w:sz w:val="28"/>
          <w:szCs w:val="28"/>
        </w:rPr>
        <w:t>以不正当竞争手段拉拢、贿赂贵</w:t>
      </w:r>
      <w:r>
        <w:rPr>
          <w:rFonts w:hint="eastAsia" w:ascii="方正仿宋简体" w:hAnsi="宋体" w:eastAsia="方正仿宋简体"/>
          <w:sz w:val="28"/>
          <w:szCs w:val="28"/>
          <w:lang w:eastAsia="zh-CN"/>
        </w:rPr>
        <w:t>单位</w:t>
      </w:r>
      <w:r>
        <w:rPr>
          <w:rFonts w:hint="eastAsia" w:ascii="方正仿宋简体" w:hAnsi="宋体" w:eastAsia="方正仿宋简体"/>
          <w:sz w:val="28"/>
          <w:szCs w:val="28"/>
          <w:lang w:val="en-US" w:eastAsia="zh-CN"/>
        </w:rPr>
        <w:t>职工</w:t>
      </w:r>
      <w:r>
        <w:rPr>
          <w:rFonts w:hint="eastAsia" w:ascii="方正仿宋简体" w:hAnsi="宋体" w:eastAsia="方正仿宋简体"/>
          <w:sz w:val="28"/>
          <w:szCs w:val="28"/>
        </w:rPr>
        <w:t>，一经查实，我</w:t>
      </w:r>
      <w:r>
        <w:rPr>
          <w:rFonts w:hint="eastAsia" w:ascii="方正仿宋简体" w:hAnsi="宋体" w:eastAsia="方正仿宋简体"/>
          <w:sz w:val="28"/>
          <w:szCs w:val="28"/>
          <w:lang w:eastAsia="zh-CN"/>
        </w:rPr>
        <w:t>单位</w:t>
      </w:r>
      <w:r>
        <w:rPr>
          <w:rFonts w:hint="eastAsia" w:ascii="方正仿宋简体" w:hAnsi="宋体" w:eastAsia="方正仿宋简体"/>
          <w:sz w:val="28"/>
          <w:szCs w:val="28"/>
        </w:rPr>
        <w:t>接受贵</w:t>
      </w:r>
      <w:r>
        <w:rPr>
          <w:rFonts w:hint="eastAsia" w:ascii="方正仿宋简体" w:hAnsi="宋体" w:eastAsia="方正仿宋简体"/>
          <w:sz w:val="28"/>
          <w:szCs w:val="28"/>
          <w:lang w:eastAsia="zh-CN"/>
        </w:rPr>
        <w:t>单位</w:t>
      </w:r>
      <w:r>
        <w:rPr>
          <w:rFonts w:hint="eastAsia" w:ascii="方正仿宋简体" w:hAnsi="宋体" w:eastAsia="方正仿宋简体"/>
          <w:sz w:val="28"/>
          <w:szCs w:val="28"/>
        </w:rPr>
        <w:t>所采取的相应的处罚。</w:t>
      </w:r>
    </w:p>
    <w:p w14:paraId="737472A7">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方正仿宋简体" w:hAnsi="宋体" w:eastAsia="方正仿宋简体"/>
          <w:sz w:val="28"/>
          <w:szCs w:val="28"/>
        </w:rPr>
      </w:pPr>
      <w:r>
        <w:rPr>
          <w:rFonts w:hint="eastAsia" w:ascii="方正仿宋简体" w:hAnsi="宋体" w:eastAsia="方正仿宋简体"/>
          <w:sz w:val="28"/>
          <w:szCs w:val="28"/>
          <w:lang w:val="en-US" w:eastAsia="zh-CN"/>
        </w:rPr>
        <w:t>八</w:t>
      </w:r>
      <w:r>
        <w:rPr>
          <w:rFonts w:hint="eastAsia" w:ascii="方正仿宋简体" w:hAnsi="宋体" w:eastAsia="方正仿宋简体"/>
          <w:sz w:val="28"/>
          <w:szCs w:val="28"/>
        </w:rPr>
        <w:t>、我</w:t>
      </w:r>
      <w:r>
        <w:rPr>
          <w:rFonts w:hint="eastAsia" w:ascii="方正仿宋简体" w:hAnsi="宋体" w:eastAsia="方正仿宋简体"/>
          <w:sz w:val="28"/>
          <w:szCs w:val="28"/>
          <w:lang w:eastAsia="zh-CN"/>
        </w:rPr>
        <w:t>单位</w:t>
      </w:r>
      <w:r>
        <w:rPr>
          <w:rFonts w:hint="eastAsia" w:ascii="方正仿宋简体" w:hAnsi="宋体" w:eastAsia="方正仿宋简体"/>
          <w:sz w:val="28"/>
          <w:szCs w:val="28"/>
        </w:rPr>
        <w:t>承诺履行贵</w:t>
      </w:r>
      <w:r>
        <w:rPr>
          <w:rFonts w:hint="eastAsia" w:ascii="方正仿宋简体" w:hAnsi="宋体" w:eastAsia="方正仿宋简体"/>
          <w:sz w:val="28"/>
          <w:szCs w:val="28"/>
          <w:lang w:eastAsia="zh-CN"/>
        </w:rPr>
        <w:t>单位</w:t>
      </w:r>
      <w:r>
        <w:rPr>
          <w:rFonts w:hint="eastAsia" w:ascii="方正仿宋简体" w:hAnsi="宋体" w:eastAsia="方正仿宋简体"/>
          <w:sz w:val="28"/>
          <w:szCs w:val="28"/>
        </w:rPr>
        <w:t>准入供应商的相关责任。</w:t>
      </w:r>
    </w:p>
    <w:p w14:paraId="44C4E298">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ascii="方正仿宋简体" w:hAnsi="宋体" w:eastAsia="方正仿宋简体"/>
          <w:sz w:val="28"/>
          <w:szCs w:val="28"/>
        </w:rPr>
      </w:pPr>
    </w:p>
    <w:p w14:paraId="066821B7">
      <w:pPr>
        <w:keepNext w:val="0"/>
        <w:keepLines w:val="0"/>
        <w:pageBreakBefore w:val="0"/>
        <w:widowControl w:val="0"/>
        <w:kinsoku/>
        <w:wordWrap/>
        <w:overflowPunct/>
        <w:topLinePunct w:val="0"/>
        <w:autoSpaceDE/>
        <w:autoSpaceDN/>
        <w:bidi w:val="0"/>
        <w:adjustRightInd w:val="0"/>
        <w:snapToGrid/>
        <w:spacing w:line="520" w:lineRule="exact"/>
        <w:ind w:firstLine="2520" w:firstLineChars="900"/>
        <w:jc w:val="both"/>
        <w:textAlignment w:val="auto"/>
        <w:rPr>
          <w:rFonts w:ascii="方正仿宋简体" w:hAnsi="宋体" w:eastAsia="方正仿宋简体"/>
          <w:sz w:val="28"/>
          <w:szCs w:val="28"/>
        </w:rPr>
      </w:pPr>
      <w:r>
        <w:rPr>
          <w:rFonts w:hint="eastAsia" w:ascii="方正仿宋简体" w:hAnsi="宋体" w:eastAsia="方正仿宋简体"/>
          <w:sz w:val="28"/>
          <w:szCs w:val="28"/>
        </w:rPr>
        <w:t>承诺单位（单位公章）</w:t>
      </w:r>
      <w:r>
        <w:rPr>
          <w:rFonts w:hint="eastAsia" w:ascii="方正仿宋简体" w:hAnsi="宋体" w:eastAsia="方正仿宋简体"/>
          <w:sz w:val="28"/>
          <w:szCs w:val="28"/>
          <w:lang w:eastAsia="zh-CN"/>
        </w:rPr>
        <w:t>：</w:t>
      </w:r>
      <w:r>
        <w:rPr>
          <w:rFonts w:hint="eastAsia" w:ascii="方正仿宋简体" w:hAnsi="宋体" w:eastAsia="方正仿宋简体"/>
          <w:sz w:val="28"/>
          <w:szCs w:val="28"/>
          <w:lang w:val="en-US" w:eastAsia="zh-CN"/>
        </w:rPr>
        <w:t xml:space="preserve">             </w:t>
      </w:r>
    </w:p>
    <w:p w14:paraId="5A4D85C7">
      <w:pPr>
        <w:keepNext w:val="0"/>
        <w:keepLines w:val="0"/>
        <w:pageBreakBefore w:val="0"/>
        <w:widowControl w:val="0"/>
        <w:kinsoku/>
        <w:wordWrap/>
        <w:overflowPunct/>
        <w:topLinePunct w:val="0"/>
        <w:autoSpaceDE/>
        <w:autoSpaceDN/>
        <w:bidi w:val="0"/>
        <w:adjustRightInd w:val="0"/>
        <w:snapToGrid/>
        <w:spacing w:line="520" w:lineRule="exact"/>
        <w:ind w:firstLine="1820" w:firstLineChars="650"/>
        <w:jc w:val="right"/>
        <w:textAlignment w:val="auto"/>
        <w:rPr>
          <w:rFonts w:ascii="方正仿宋简体" w:hAnsi="宋体" w:eastAsia="方正仿宋简体"/>
          <w:sz w:val="28"/>
          <w:szCs w:val="28"/>
        </w:rPr>
      </w:pPr>
      <w:r>
        <w:rPr>
          <w:rFonts w:hint="eastAsia" w:ascii="方正仿宋简体" w:hAnsi="宋体" w:eastAsia="方正仿宋简体"/>
          <w:sz w:val="28"/>
          <w:szCs w:val="28"/>
        </w:rPr>
        <w:t>法定代表人/授权代理人：</w:t>
      </w:r>
      <w:r>
        <w:rPr>
          <w:rFonts w:hint="eastAsia" w:ascii="方正仿宋简体" w:hAnsi="宋体" w:eastAsia="方正仿宋简体"/>
          <w:sz w:val="28"/>
          <w:szCs w:val="28"/>
          <w:u w:val="single"/>
        </w:rPr>
        <w:t xml:space="preserve">                 </w:t>
      </w:r>
      <w:r>
        <w:rPr>
          <w:rFonts w:hint="eastAsia" w:ascii="方正仿宋简体" w:hAnsi="宋体" w:eastAsia="方正仿宋简体"/>
          <w:sz w:val="28"/>
          <w:szCs w:val="28"/>
        </w:rPr>
        <w:t>（签字）</w:t>
      </w:r>
    </w:p>
    <w:p w14:paraId="15969EAE">
      <w:pPr>
        <w:pStyle w:val="97"/>
        <w:keepNext w:val="0"/>
        <w:keepLines w:val="0"/>
        <w:pageBreakBefore w:val="0"/>
        <w:widowControl w:val="0"/>
        <w:kinsoku/>
        <w:wordWrap/>
        <w:overflowPunct/>
        <w:topLinePunct w:val="0"/>
        <w:autoSpaceDE/>
        <w:autoSpaceDN/>
        <w:bidi w:val="0"/>
        <w:snapToGrid/>
        <w:spacing w:line="520" w:lineRule="exact"/>
        <w:jc w:val="right"/>
        <w:textAlignment w:val="auto"/>
        <w:rPr>
          <w:rFonts w:ascii="方正黑体简体" w:eastAsia="方正黑体简体"/>
        </w:rPr>
      </w:pPr>
      <w:r>
        <w:rPr>
          <w:rFonts w:hint="eastAsia"/>
        </w:rPr>
        <w:t xml:space="preserve">                                   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14:paraId="3A7750A4">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方正黑体简体" w:cs="宋体"/>
          <w:bCs w:val="0"/>
          <w:color w:val="auto"/>
          <w:highlight w:val="none"/>
          <w:lang w:val="en-US" w:eastAsia="zh-CN"/>
        </w:rPr>
      </w:pPr>
      <w:r>
        <w:rPr>
          <w:rFonts w:hint="eastAsia" w:ascii="方正黑体简体" w:eastAsia="方正黑体简体"/>
          <w:sz w:val="28"/>
          <w:szCs w:val="28"/>
        </w:rPr>
        <w:t>附录</w:t>
      </w:r>
      <w:r>
        <w:rPr>
          <w:rFonts w:hint="eastAsia" w:ascii="方正黑体简体" w:eastAsia="方正黑体简体"/>
          <w:sz w:val="28"/>
          <w:szCs w:val="28"/>
          <w:lang w:val="en-US" w:eastAsia="zh-CN"/>
        </w:rPr>
        <w:t>3</w:t>
      </w:r>
    </w:p>
    <w:p w14:paraId="751E16AE">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highlight w:val="none"/>
        </w:rPr>
      </w:pPr>
      <w:r>
        <w:rPr>
          <w:rFonts w:hint="eastAsia" w:ascii="宋体" w:hAnsi="宋体" w:eastAsia="宋体" w:cs="宋体"/>
          <w:bCs w:val="0"/>
          <w:color w:val="auto"/>
          <w:highlight w:val="none"/>
        </w:rPr>
        <w:t>最后报价表</w:t>
      </w:r>
    </w:p>
    <w:p w14:paraId="2F6648E5">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一、关于最后报价表的说明：</w:t>
      </w:r>
    </w:p>
    <w:p w14:paraId="22ED3C1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1、最后报价表不需要封装在响应文件中；</w:t>
      </w:r>
    </w:p>
    <w:p w14:paraId="776FB506">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2、最后报价表是在通过相关评审后，向评审</w:t>
      </w:r>
      <w:r>
        <w:rPr>
          <w:rFonts w:hint="eastAsia" w:ascii="宋体" w:hAnsi="宋体" w:cs="宋体"/>
          <w:b/>
          <w:bCs/>
          <w:color w:val="auto"/>
          <w:sz w:val="24"/>
          <w:highlight w:val="none"/>
          <w:lang w:val="en-US" w:eastAsia="zh-CN"/>
        </w:rPr>
        <w:t>小组</w:t>
      </w:r>
      <w:r>
        <w:rPr>
          <w:rFonts w:hint="eastAsia" w:ascii="宋体" w:hAnsi="宋体" w:eastAsia="宋体" w:cs="宋体"/>
          <w:b/>
          <w:bCs/>
          <w:color w:val="auto"/>
          <w:sz w:val="24"/>
          <w:highlight w:val="none"/>
        </w:rPr>
        <w:t>单独密封递交的文件，需由</w:t>
      </w:r>
      <w:r>
        <w:rPr>
          <w:rFonts w:hint="eastAsia" w:ascii="宋体" w:hAnsi="宋体" w:eastAsia="宋体" w:cs="宋体"/>
          <w:b/>
          <w:bCs/>
          <w:color w:val="auto"/>
          <w:sz w:val="24"/>
          <w:highlight w:val="none"/>
          <w:lang w:eastAsia="zh-CN"/>
        </w:rPr>
        <w:t>法定代表人（负责人）</w:t>
      </w:r>
      <w:r>
        <w:rPr>
          <w:rFonts w:hint="eastAsia" w:ascii="宋体" w:hAnsi="宋体" w:eastAsia="宋体" w:cs="宋体"/>
          <w:b/>
          <w:bCs/>
          <w:color w:val="auto"/>
          <w:sz w:val="24"/>
          <w:highlight w:val="none"/>
        </w:rPr>
        <w:t>或授权代表签字；</w:t>
      </w:r>
    </w:p>
    <w:p w14:paraId="2C41FA3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3、最后报价表可以供应商的</w:t>
      </w:r>
      <w:r>
        <w:rPr>
          <w:rFonts w:hint="eastAsia" w:ascii="宋体" w:hAnsi="宋体" w:eastAsia="宋体" w:cs="宋体"/>
          <w:b/>
          <w:bCs/>
          <w:color w:val="auto"/>
          <w:sz w:val="24"/>
          <w:highlight w:val="none"/>
          <w:lang w:eastAsia="zh-CN"/>
        </w:rPr>
        <w:t>法定代表人（负责人）</w:t>
      </w:r>
      <w:r>
        <w:rPr>
          <w:rFonts w:hint="eastAsia" w:ascii="宋体" w:hAnsi="宋体" w:eastAsia="宋体" w:cs="宋体"/>
          <w:b/>
          <w:bCs/>
          <w:color w:val="auto"/>
          <w:sz w:val="24"/>
          <w:highlight w:val="none"/>
        </w:rPr>
        <w:t>或授权代表在最后报价时手工填写；</w:t>
      </w:r>
    </w:p>
    <w:p w14:paraId="5AE7FA31">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4、供应商在未提高响应文件中承诺的服务质量的情况下，其最后报价不得高于对该项目之前的报价。</w:t>
      </w:r>
    </w:p>
    <w:p w14:paraId="5FDCE93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二、报价表格式：</w:t>
      </w:r>
    </w:p>
    <w:p w14:paraId="35F11213">
      <w:pPr>
        <w:pStyle w:val="11"/>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最后报价表</w:t>
      </w:r>
    </w:p>
    <w:p w14:paraId="511C38D8">
      <w:pPr>
        <w:pStyle w:val="11"/>
        <w:rPr>
          <w:rFonts w:hint="eastAsia" w:eastAsia="宋体"/>
          <w:color w:val="auto"/>
          <w:highlight w:val="none"/>
          <w:lang w:eastAsia="zh-CN"/>
        </w:rPr>
      </w:pPr>
      <w:r>
        <w:rPr>
          <w:rFonts w:hint="eastAsia" w:ascii="宋体" w:hAnsi="宋体" w:cs="宋体"/>
          <w:color w:val="auto"/>
          <w:sz w:val="24"/>
          <w:highlight w:val="none"/>
          <w:lang w:eastAsia="zh-CN"/>
        </w:rPr>
        <w:t>采购</w:t>
      </w: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采购</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4248"/>
        <w:gridCol w:w="2396"/>
        <w:gridCol w:w="1232"/>
      </w:tblGrid>
      <w:tr w14:paraId="6E7A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78" w:type="pct"/>
            <w:noWrap w:val="0"/>
            <w:vAlign w:val="center"/>
          </w:tcPr>
          <w:p w14:paraId="64DD7FAA">
            <w:pPr>
              <w:keepNext w:val="0"/>
              <w:keepLines w:val="0"/>
              <w:pageBreakBefore w:val="0"/>
              <w:widowControl w:val="0"/>
              <w:kinsoku/>
              <w:wordWrap/>
              <w:overflowPunct/>
              <w:topLinePunct w:val="0"/>
              <w:bidi w:val="0"/>
              <w:snapToGrid/>
              <w:spacing w:line="360" w:lineRule="auto"/>
              <w:ind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93" w:type="pct"/>
            <w:noWrap w:val="0"/>
            <w:vAlign w:val="center"/>
          </w:tcPr>
          <w:p w14:paraId="21B590A2">
            <w:pPr>
              <w:keepNext w:val="0"/>
              <w:keepLines w:val="0"/>
              <w:pageBreakBefore w:val="0"/>
              <w:widowControl w:val="0"/>
              <w:kinsoku/>
              <w:wordWrap/>
              <w:overflowPunct/>
              <w:topLinePunct w:val="0"/>
              <w:bidi w:val="0"/>
              <w:snapToGrid/>
              <w:spacing w:line="360" w:lineRule="auto"/>
              <w:ind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406" w:type="pct"/>
            <w:noWrap w:val="0"/>
            <w:vAlign w:val="center"/>
          </w:tcPr>
          <w:p w14:paraId="56B1DB9F">
            <w:pPr>
              <w:keepNext w:val="0"/>
              <w:keepLines w:val="0"/>
              <w:pageBreakBefore w:val="0"/>
              <w:widowControl w:val="0"/>
              <w:kinsoku/>
              <w:wordWrap/>
              <w:overflowPunct/>
              <w:topLinePunct w:val="0"/>
              <w:bidi w:val="0"/>
              <w:snapToGrid/>
              <w:spacing w:line="360" w:lineRule="auto"/>
              <w:ind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报价</w:t>
            </w:r>
          </w:p>
        </w:tc>
        <w:tc>
          <w:tcPr>
            <w:tcW w:w="721" w:type="pct"/>
            <w:noWrap w:val="0"/>
            <w:vAlign w:val="center"/>
          </w:tcPr>
          <w:p w14:paraId="603BCF1D">
            <w:pPr>
              <w:keepNext w:val="0"/>
              <w:keepLines w:val="0"/>
              <w:pageBreakBefore w:val="0"/>
              <w:widowControl w:val="0"/>
              <w:kinsoku/>
              <w:wordWrap/>
              <w:overflowPunct/>
              <w:topLinePunct w:val="0"/>
              <w:bidi w:val="0"/>
              <w:snapToGrid/>
              <w:spacing w:line="360" w:lineRule="auto"/>
              <w:ind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5EC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78" w:type="pct"/>
            <w:noWrap w:val="0"/>
            <w:vAlign w:val="center"/>
          </w:tcPr>
          <w:p w14:paraId="76A017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Style w:val="93"/>
                <w:rFonts w:hint="eastAsia" w:ascii="宋体" w:hAnsi="宋体" w:eastAsia="宋体" w:cs="宋体"/>
                <w:color w:val="auto"/>
                <w:sz w:val="24"/>
                <w:szCs w:val="24"/>
                <w:highlight w:val="none"/>
                <w:lang w:val="en-US" w:eastAsia="zh-CN"/>
              </w:rPr>
              <w:t>1</w:t>
            </w:r>
          </w:p>
        </w:tc>
        <w:tc>
          <w:tcPr>
            <w:tcW w:w="2493" w:type="pct"/>
            <w:noWrap w:val="0"/>
            <w:vAlign w:val="center"/>
          </w:tcPr>
          <w:p w14:paraId="6D204BA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广汉市中医医院</w:t>
            </w:r>
            <w:r>
              <w:rPr>
                <w:rFonts w:hint="eastAsia" w:ascii="宋体" w:hAnsi="宋体" w:cs="宋体"/>
                <w:color w:val="auto"/>
                <w:sz w:val="24"/>
                <w:highlight w:val="none"/>
                <w:lang w:eastAsia="zh-CN"/>
              </w:rPr>
              <w:t>常年法律顾问</w:t>
            </w:r>
            <w:r>
              <w:rPr>
                <w:rFonts w:hint="eastAsia" w:ascii="宋体" w:hAnsi="宋体" w:cs="宋体"/>
                <w:color w:val="auto"/>
                <w:sz w:val="24"/>
                <w:szCs w:val="24"/>
                <w:highlight w:val="none"/>
                <w:lang w:eastAsia="zh-CN"/>
              </w:rPr>
              <w:t>采购项目</w:t>
            </w:r>
          </w:p>
        </w:tc>
        <w:tc>
          <w:tcPr>
            <w:tcW w:w="1406" w:type="pct"/>
            <w:noWrap w:val="0"/>
            <w:vAlign w:val="center"/>
          </w:tcPr>
          <w:p w14:paraId="2F091E1F">
            <w:pPr>
              <w:keepNext w:val="0"/>
              <w:keepLines w:val="0"/>
              <w:pageBreakBefore w:val="0"/>
              <w:widowControl w:val="0"/>
              <w:kinsoku/>
              <w:wordWrap/>
              <w:overflowPunct/>
              <w:topLinePunct w:val="0"/>
              <w:bidi w:val="0"/>
              <w:snapToGrid/>
              <w:spacing w:line="360" w:lineRule="auto"/>
              <w:ind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万元</w:t>
            </w:r>
          </w:p>
        </w:tc>
        <w:tc>
          <w:tcPr>
            <w:tcW w:w="721" w:type="pct"/>
            <w:noWrap w:val="0"/>
            <w:vAlign w:val="center"/>
          </w:tcPr>
          <w:p w14:paraId="3F6935EC">
            <w:pPr>
              <w:pStyle w:val="79"/>
              <w:keepNext w:val="0"/>
              <w:keepLines w:val="0"/>
              <w:pageBreakBefore w:val="0"/>
              <w:widowControl w:val="0"/>
              <w:kinsoku/>
              <w:wordWrap/>
              <w:overflowPunct/>
              <w:topLinePunct w:val="0"/>
              <w:bidi w:val="0"/>
              <w:snapToGrid/>
              <w:spacing w:line="360" w:lineRule="auto"/>
              <w:ind w:right="0" w:rightChars="0" w:firstLine="0" w:firstLineChars="0"/>
              <w:jc w:val="center"/>
              <w:textAlignment w:val="auto"/>
              <w:rPr>
                <w:rFonts w:hint="eastAsia" w:ascii="宋体" w:hAnsi="宋体" w:eastAsia="宋体" w:cs="宋体"/>
                <w:color w:val="auto"/>
                <w:sz w:val="24"/>
                <w:szCs w:val="24"/>
                <w:highlight w:val="none"/>
              </w:rPr>
            </w:pPr>
          </w:p>
        </w:tc>
      </w:tr>
      <w:tr w14:paraId="1D1F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000" w:type="pct"/>
            <w:gridSpan w:val="4"/>
            <w:noWrap w:val="0"/>
            <w:vAlign w:val="center"/>
          </w:tcPr>
          <w:p w14:paraId="74BCA21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报价合计（万元）：          大写：</w:t>
            </w:r>
          </w:p>
        </w:tc>
      </w:tr>
    </w:tbl>
    <w:p w14:paraId="0DF03D75">
      <w:pPr>
        <w:ind w:firstLine="480" w:firstLineChars="200"/>
        <w:rPr>
          <w:rFonts w:hint="eastAsia" w:ascii="宋体" w:hAnsi="宋体" w:eastAsia="宋体" w:cs="宋体"/>
          <w:color w:val="auto"/>
          <w:sz w:val="24"/>
          <w:highlight w:val="none"/>
        </w:rPr>
      </w:pPr>
    </w:p>
    <w:p w14:paraId="0C4577C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报价应是最终采购人验收合格后的总价，包括</w:t>
      </w:r>
      <w:r>
        <w:rPr>
          <w:rFonts w:hint="eastAsia" w:ascii="宋体" w:hAnsi="宋体" w:eastAsia="宋体" w:cs="宋体"/>
          <w:color w:val="auto"/>
          <w:sz w:val="24"/>
          <w:highlight w:val="none"/>
          <w:lang w:eastAsia="zh-CN"/>
        </w:rPr>
        <w:t>完成项目所需一切费用</w:t>
      </w:r>
      <w:r>
        <w:rPr>
          <w:rFonts w:hint="eastAsia" w:ascii="宋体" w:hAnsi="宋体" w:eastAsia="宋体" w:cs="宋体"/>
          <w:color w:val="auto"/>
          <w:sz w:val="24"/>
          <w:highlight w:val="none"/>
          <w:lang w:val="en-US" w:eastAsia="zh-CN"/>
        </w:rPr>
        <w:t>。</w:t>
      </w:r>
    </w:p>
    <w:p w14:paraId="613A0B9B">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4"/>
          <w:highlight w:val="none"/>
        </w:rPr>
      </w:pPr>
    </w:p>
    <w:p w14:paraId="01CD9598">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14:paraId="11538140">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法定代表人（负责人）</w:t>
      </w:r>
      <w:r>
        <w:rPr>
          <w:rFonts w:hint="eastAsia" w:ascii="宋体" w:hAnsi="宋体" w:eastAsia="宋体" w:cs="宋体"/>
          <w:bCs/>
          <w:color w:val="auto"/>
          <w:sz w:val="24"/>
          <w:highlight w:val="none"/>
        </w:rPr>
        <w:t>或授权代表（签字或者加盖个人名章）：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27F2139A">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rPr>
        <w:t>日</w:t>
      </w:r>
    </w:p>
    <w:p w14:paraId="3DBBAC0D">
      <w:pPr>
        <w:spacing w:line="360" w:lineRule="auto"/>
        <w:ind w:firstLine="480" w:firstLineChars="200"/>
        <w:rPr>
          <w:rFonts w:hint="eastAsia" w:ascii="宋体" w:hAnsi="宋体" w:eastAsia="宋体" w:cs="宋体"/>
          <w:color w:val="auto"/>
          <w:sz w:val="24"/>
          <w:highlight w:val="none"/>
        </w:rPr>
      </w:pPr>
    </w:p>
    <w:sectPr>
      <w:footerReference r:id="rId8"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5B9D0">
    <w:pPr>
      <w:pStyle w:val="20"/>
      <w:framePr w:wrap="around" w:vAnchor="text" w:hAnchor="margin" w:xAlign="outside" w:y="1"/>
      <w:rPr>
        <w:rStyle w:val="37"/>
      </w:rPr>
    </w:pPr>
    <w:r>
      <w:fldChar w:fldCharType="begin"/>
    </w:r>
    <w:r>
      <w:rPr>
        <w:rStyle w:val="37"/>
      </w:rPr>
      <w:instrText xml:space="preserve">PAGE  </w:instrText>
    </w:r>
    <w:r>
      <w:fldChar w:fldCharType="end"/>
    </w:r>
  </w:p>
  <w:p w14:paraId="68FE4110">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46617">
    <w:pPr>
      <w:pStyle w:val="2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97123">
    <w:pPr>
      <w:pStyle w:val="20"/>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AD0753">
                          <w:pPr>
                            <w:pStyle w:val="20"/>
                          </w:pPr>
                          <w:r>
                            <w:fldChar w:fldCharType="begin"/>
                          </w:r>
                          <w:r>
                            <w:instrText xml:space="preserve"> PAGE  \* MERGEFORMAT </w:instrText>
                          </w:r>
                          <w:r>
                            <w:fldChar w:fldCharType="separate"/>
                          </w:r>
                          <w:r>
                            <w:t>- 3 -</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pWSil3gEAAL4DAAAOAAAAAAAA&#10;AAEAIAAAAB4BAABkcnMvZTJvRG9jLnhtbFBLBQYAAAAABgAGAFkBAABuBQAAAAA=&#10;">
              <v:fill on="f" focussize="0,0"/>
              <v:stroke on="f"/>
              <v:imagedata o:title=""/>
              <o:lock v:ext="edit" aspectratio="f"/>
              <v:textbox inset="0mm,0mm,0mm,0mm" style="mso-fit-shape-to-text:t;">
                <w:txbxContent>
                  <w:p w14:paraId="23AD0753">
                    <w:pPr>
                      <w:pStyle w:val="20"/>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E3800">
    <w:pPr>
      <w:pStyle w:val="21"/>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E755">
    <w:pPr>
      <w:pStyle w:val="21"/>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2C2D">
    <w:pPr>
      <w:pStyle w:val="2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78"/>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MzZiNzRkMzQ5NWZhNjVhYWMwNjU3MjBlM2IzMmIifQ=="/>
  </w:docVars>
  <w:rsids>
    <w:rsidRoot w:val="007C12CC"/>
    <w:rsid w:val="00001660"/>
    <w:rsid w:val="00002150"/>
    <w:rsid w:val="00004B89"/>
    <w:rsid w:val="000056B0"/>
    <w:rsid w:val="00006336"/>
    <w:rsid w:val="00006CEA"/>
    <w:rsid w:val="00007D34"/>
    <w:rsid w:val="000109B7"/>
    <w:rsid w:val="00011937"/>
    <w:rsid w:val="00013884"/>
    <w:rsid w:val="00015AD4"/>
    <w:rsid w:val="000201AB"/>
    <w:rsid w:val="00020C0A"/>
    <w:rsid w:val="00021F2A"/>
    <w:rsid w:val="000222FA"/>
    <w:rsid w:val="00023E17"/>
    <w:rsid w:val="000246A1"/>
    <w:rsid w:val="00024A16"/>
    <w:rsid w:val="00024F75"/>
    <w:rsid w:val="0002669F"/>
    <w:rsid w:val="00026E80"/>
    <w:rsid w:val="00031558"/>
    <w:rsid w:val="00031D73"/>
    <w:rsid w:val="00032335"/>
    <w:rsid w:val="00032783"/>
    <w:rsid w:val="00032C9B"/>
    <w:rsid w:val="00035948"/>
    <w:rsid w:val="00037841"/>
    <w:rsid w:val="000408C4"/>
    <w:rsid w:val="00040F45"/>
    <w:rsid w:val="000415D6"/>
    <w:rsid w:val="00041FE4"/>
    <w:rsid w:val="00042767"/>
    <w:rsid w:val="00046697"/>
    <w:rsid w:val="0004677D"/>
    <w:rsid w:val="000474DE"/>
    <w:rsid w:val="00050590"/>
    <w:rsid w:val="00051366"/>
    <w:rsid w:val="000517C7"/>
    <w:rsid w:val="0005225A"/>
    <w:rsid w:val="000526C6"/>
    <w:rsid w:val="00052B12"/>
    <w:rsid w:val="00052CD1"/>
    <w:rsid w:val="000532AD"/>
    <w:rsid w:val="00053337"/>
    <w:rsid w:val="00053D9E"/>
    <w:rsid w:val="00054BA4"/>
    <w:rsid w:val="00055C21"/>
    <w:rsid w:val="00056979"/>
    <w:rsid w:val="00057397"/>
    <w:rsid w:val="00061464"/>
    <w:rsid w:val="0006264C"/>
    <w:rsid w:val="00062E97"/>
    <w:rsid w:val="00063ADB"/>
    <w:rsid w:val="000656B0"/>
    <w:rsid w:val="000657E0"/>
    <w:rsid w:val="0006634F"/>
    <w:rsid w:val="0006738D"/>
    <w:rsid w:val="000676DF"/>
    <w:rsid w:val="00070D82"/>
    <w:rsid w:val="0007177D"/>
    <w:rsid w:val="000731F0"/>
    <w:rsid w:val="00074138"/>
    <w:rsid w:val="000743DD"/>
    <w:rsid w:val="00074BC6"/>
    <w:rsid w:val="0007588A"/>
    <w:rsid w:val="00075F20"/>
    <w:rsid w:val="0008006F"/>
    <w:rsid w:val="000812F3"/>
    <w:rsid w:val="00081A37"/>
    <w:rsid w:val="00081A47"/>
    <w:rsid w:val="00082B75"/>
    <w:rsid w:val="000839BF"/>
    <w:rsid w:val="00084183"/>
    <w:rsid w:val="0008437F"/>
    <w:rsid w:val="0008602F"/>
    <w:rsid w:val="00086A4E"/>
    <w:rsid w:val="000873B3"/>
    <w:rsid w:val="00090600"/>
    <w:rsid w:val="00090A00"/>
    <w:rsid w:val="00092B4C"/>
    <w:rsid w:val="00093ABA"/>
    <w:rsid w:val="00095148"/>
    <w:rsid w:val="000958DC"/>
    <w:rsid w:val="000963B8"/>
    <w:rsid w:val="00097114"/>
    <w:rsid w:val="000A1518"/>
    <w:rsid w:val="000A1D01"/>
    <w:rsid w:val="000A2A84"/>
    <w:rsid w:val="000A32C6"/>
    <w:rsid w:val="000A4196"/>
    <w:rsid w:val="000A42C7"/>
    <w:rsid w:val="000A4B2E"/>
    <w:rsid w:val="000A4EA5"/>
    <w:rsid w:val="000A4F0C"/>
    <w:rsid w:val="000B07DD"/>
    <w:rsid w:val="000B0F4B"/>
    <w:rsid w:val="000B1C2C"/>
    <w:rsid w:val="000B22AC"/>
    <w:rsid w:val="000B253A"/>
    <w:rsid w:val="000B2DD2"/>
    <w:rsid w:val="000B428C"/>
    <w:rsid w:val="000B48CE"/>
    <w:rsid w:val="000B4EB9"/>
    <w:rsid w:val="000B58C4"/>
    <w:rsid w:val="000B7FD8"/>
    <w:rsid w:val="000C00DD"/>
    <w:rsid w:val="000C0146"/>
    <w:rsid w:val="000C1BCB"/>
    <w:rsid w:val="000C22DB"/>
    <w:rsid w:val="000C2F3B"/>
    <w:rsid w:val="000C3110"/>
    <w:rsid w:val="000C405E"/>
    <w:rsid w:val="000C4129"/>
    <w:rsid w:val="000C4762"/>
    <w:rsid w:val="000C5D2D"/>
    <w:rsid w:val="000D03B4"/>
    <w:rsid w:val="000D0846"/>
    <w:rsid w:val="000D0F0A"/>
    <w:rsid w:val="000D31CA"/>
    <w:rsid w:val="000D482A"/>
    <w:rsid w:val="000D4EFB"/>
    <w:rsid w:val="000D60C5"/>
    <w:rsid w:val="000D663F"/>
    <w:rsid w:val="000D705A"/>
    <w:rsid w:val="000D7A45"/>
    <w:rsid w:val="000E551F"/>
    <w:rsid w:val="000E583C"/>
    <w:rsid w:val="000E66F6"/>
    <w:rsid w:val="000F2A83"/>
    <w:rsid w:val="000F422B"/>
    <w:rsid w:val="000F4897"/>
    <w:rsid w:val="000F5C99"/>
    <w:rsid w:val="000F5E49"/>
    <w:rsid w:val="0010095D"/>
    <w:rsid w:val="00100B7D"/>
    <w:rsid w:val="00100C85"/>
    <w:rsid w:val="00100FCD"/>
    <w:rsid w:val="00101565"/>
    <w:rsid w:val="0010167E"/>
    <w:rsid w:val="001033D2"/>
    <w:rsid w:val="001035A5"/>
    <w:rsid w:val="001038B5"/>
    <w:rsid w:val="00107EE6"/>
    <w:rsid w:val="001114EB"/>
    <w:rsid w:val="001116C7"/>
    <w:rsid w:val="001119A8"/>
    <w:rsid w:val="00111F41"/>
    <w:rsid w:val="0011411F"/>
    <w:rsid w:val="00114DE5"/>
    <w:rsid w:val="00114EBA"/>
    <w:rsid w:val="001150A5"/>
    <w:rsid w:val="0011651F"/>
    <w:rsid w:val="001176BD"/>
    <w:rsid w:val="0012276E"/>
    <w:rsid w:val="00123E53"/>
    <w:rsid w:val="00126265"/>
    <w:rsid w:val="00126D87"/>
    <w:rsid w:val="00131F14"/>
    <w:rsid w:val="001329EB"/>
    <w:rsid w:val="00133244"/>
    <w:rsid w:val="001336F6"/>
    <w:rsid w:val="001345C8"/>
    <w:rsid w:val="00134DF5"/>
    <w:rsid w:val="00135A93"/>
    <w:rsid w:val="00136485"/>
    <w:rsid w:val="00136D53"/>
    <w:rsid w:val="00140E5A"/>
    <w:rsid w:val="00142470"/>
    <w:rsid w:val="00142B9B"/>
    <w:rsid w:val="001435B9"/>
    <w:rsid w:val="0014429A"/>
    <w:rsid w:val="001464DD"/>
    <w:rsid w:val="001500D3"/>
    <w:rsid w:val="00150BE5"/>
    <w:rsid w:val="00150BFF"/>
    <w:rsid w:val="00151441"/>
    <w:rsid w:val="00152F7F"/>
    <w:rsid w:val="00152F8A"/>
    <w:rsid w:val="00153D4C"/>
    <w:rsid w:val="0015606A"/>
    <w:rsid w:val="0015612A"/>
    <w:rsid w:val="00156466"/>
    <w:rsid w:val="00156852"/>
    <w:rsid w:val="00156D44"/>
    <w:rsid w:val="001575FD"/>
    <w:rsid w:val="00161AEF"/>
    <w:rsid w:val="00162078"/>
    <w:rsid w:val="001633A3"/>
    <w:rsid w:val="001648CD"/>
    <w:rsid w:val="001651C1"/>
    <w:rsid w:val="001652F8"/>
    <w:rsid w:val="00165833"/>
    <w:rsid w:val="00167ED2"/>
    <w:rsid w:val="00170C8C"/>
    <w:rsid w:val="00175AEB"/>
    <w:rsid w:val="001763A5"/>
    <w:rsid w:val="00177EB9"/>
    <w:rsid w:val="0018382C"/>
    <w:rsid w:val="0018390E"/>
    <w:rsid w:val="00183F9B"/>
    <w:rsid w:val="0018449A"/>
    <w:rsid w:val="001854B0"/>
    <w:rsid w:val="00185A14"/>
    <w:rsid w:val="00185A39"/>
    <w:rsid w:val="00185F2C"/>
    <w:rsid w:val="00186AEA"/>
    <w:rsid w:val="001876EA"/>
    <w:rsid w:val="00187C36"/>
    <w:rsid w:val="00187D88"/>
    <w:rsid w:val="001909DA"/>
    <w:rsid w:val="00193802"/>
    <w:rsid w:val="00193E56"/>
    <w:rsid w:val="00196B7A"/>
    <w:rsid w:val="001974BF"/>
    <w:rsid w:val="0019756E"/>
    <w:rsid w:val="001A0BE4"/>
    <w:rsid w:val="001A183A"/>
    <w:rsid w:val="001A3B2C"/>
    <w:rsid w:val="001A4D34"/>
    <w:rsid w:val="001A67F1"/>
    <w:rsid w:val="001A761A"/>
    <w:rsid w:val="001B1A35"/>
    <w:rsid w:val="001B22E9"/>
    <w:rsid w:val="001B3E78"/>
    <w:rsid w:val="001B4227"/>
    <w:rsid w:val="001B4B2D"/>
    <w:rsid w:val="001B5986"/>
    <w:rsid w:val="001C1863"/>
    <w:rsid w:val="001C205F"/>
    <w:rsid w:val="001C20D6"/>
    <w:rsid w:val="001C4A5B"/>
    <w:rsid w:val="001C5AF6"/>
    <w:rsid w:val="001C65A6"/>
    <w:rsid w:val="001C695D"/>
    <w:rsid w:val="001D09B3"/>
    <w:rsid w:val="001D0F62"/>
    <w:rsid w:val="001D1D12"/>
    <w:rsid w:val="001D2331"/>
    <w:rsid w:val="001D3913"/>
    <w:rsid w:val="001D51B7"/>
    <w:rsid w:val="001D799A"/>
    <w:rsid w:val="001E012B"/>
    <w:rsid w:val="001E0521"/>
    <w:rsid w:val="001E12C0"/>
    <w:rsid w:val="001E148C"/>
    <w:rsid w:val="001E3B05"/>
    <w:rsid w:val="001E5BB0"/>
    <w:rsid w:val="001E6EF9"/>
    <w:rsid w:val="001F035E"/>
    <w:rsid w:val="001F26F7"/>
    <w:rsid w:val="001F64F5"/>
    <w:rsid w:val="001F74E9"/>
    <w:rsid w:val="001F7DBD"/>
    <w:rsid w:val="00202AE6"/>
    <w:rsid w:val="00203068"/>
    <w:rsid w:val="002032C6"/>
    <w:rsid w:val="00206D18"/>
    <w:rsid w:val="0021013C"/>
    <w:rsid w:val="002120D0"/>
    <w:rsid w:val="002125E6"/>
    <w:rsid w:val="00213920"/>
    <w:rsid w:val="00214C88"/>
    <w:rsid w:val="002214AE"/>
    <w:rsid w:val="00221F47"/>
    <w:rsid w:val="00224333"/>
    <w:rsid w:val="00224CDC"/>
    <w:rsid w:val="002270B2"/>
    <w:rsid w:val="00230304"/>
    <w:rsid w:val="00230D10"/>
    <w:rsid w:val="002320BC"/>
    <w:rsid w:val="00233212"/>
    <w:rsid w:val="002332EA"/>
    <w:rsid w:val="002342C9"/>
    <w:rsid w:val="002373D5"/>
    <w:rsid w:val="00240448"/>
    <w:rsid w:val="00240784"/>
    <w:rsid w:val="00242277"/>
    <w:rsid w:val="0024316D"/>
    <w:rsid w:val="00244015"/>
    <w:rsid w:val="0024518B"/>
    <w:rsid w:val="0024682C"/>
    <w:rsid w:val="002470DA"/>
    <w:rsid w:val="00250692"/>
    <w:rsid w:val="002522AB"/>
    <w:rsid w:val="0025359C"/>
    <w:rsid w:val="00255D4B"/>
    <w:rsid w:val="00260E91"/>
    <w:rsid w:val="00262A61"/>
    <w:rsid w:val="00263C90"/>
    <w:rsid w:val="00264935"/>
    <w:rsid w:val="00265F18"/>
    <w:rsid w:val="00267B91"/>
    <w:rsid w:val="002710BB"/>
    <w:rsid w:val="00277B58"/>
    <w:rsid w:val="00280BF5"/>
    <w:rsid w:val="00280D8F"/>
    <w:rsid w:val="00281347"/>
    <w:rsid w:val="00281907"/>
    <w:rsid w:val="00282C3E"/>
    <w:rsid w:val="002857AA"/>
    <w:rsid w:val="0028582F"/>
    <w:rsid w:val="00286A27"/>
    <w:rsid w:val="00287687"/>
    <w:rsid w:val="00287FD3"/>
    <w:rsid w:val="0029048E"/>
    <w:rsid w:val="00291539"/>
    <w:rsid w:val="00293720"/>
    <w:rsid w:val="002945D2"/>
    <w:rsid w:val="00294EBC"/>
    <w:rsid w:val="0029626C"/>
    <w:rsid w:val="00296ACA"/>
    <w:rsid w:val="002A0B7A"/>
    <w:rsid w:val="002A0C82"/>
    <w:rsid w:val="002A2AE7"/>
    <w:rsid w:val="002A3772"/>
    <w:rsid w:val="002A6A39"/>
    <w:rsid w:val="002A7224"/>
    <w:rsid w:val="002B067F"/>
    <w:rsid w:val="002B25EB"/>
    <w:rsid w:val="002B6D25"/>
    <w:rsid w:val="002B7D1D"/>
    <w:rsid w:val="002B7E6D"/>
    <w:rsid w:val="002C0964"/>
    <w:rsid w:val="002C3905"/>
    <w:rsid w:val="002C7DDE"/>
    <w:rsid w:val="002D0A09"/>
    <w:rsid w:val="002D1D6B"/>
    <w:rsid w:val="002D5D7E"/>
    <w:rsid w:val="002D73AE"/>
    <w:rsid w:val="002E13B6"/>
    <w:rsid w:val="002E1CD7"/>
    <w:rsid w:val="002E1F95"/>
    <w:rsid w:val="002E2016"/>
    <w:rsid w:val="002E372F"/>
    <w:rsid w:val="002E38A1"/>
    <w:rsid w:val="002E53EC"/>
    <w:rsid w:val="002E7B45"/>
    <w:rsid w:val="002F0D48"/>
    <w:rsid w:val="002F3919"/>
    <w:rsid w:val="002F4012"/>
    <w:rsid w:val="002F5A38"/>
    <w:rsid w:val="002F6EEF"/>
    <w:rsid w:val="002F797B"/>
    <w:rsid w:val="00302602"/>
    <w:rsid w:val="0030262F"/>
    <w:rsid w:val="003032A1"/>
    <w:rsid w:val="0030413D"/>
    <w:rsid w:val="003044F2"/>
    <w:rsid w:val="00305CB0"/>
    <w:rsid w:val="0030638D"/>
    <w:rsid w:val="00306772"/>
    <w:rsid w:val="00306A59"/>
    <w:rsid w:val="00306F89"/>
    <w:rsid w:val="0030729C"/>
    <w:rsid w:val="0031060A"/>
    <w:rsid w:val="0031253B"/>
    <w:rsid w:val="00314009"/>
    <w:rsid w:val="00314345"/>
    <w:rsid w:val="003147B3"/>
    <w:rsid w:val="00315B90"/>
    <w:rsid w:val="0031795E"/>
    <w:rsid w:val="00321BCE"/>
    <w:rsid w:val="00322BB8"/>
    <w:rsid w:val="003230A0"/>
    <w:rsid w:val="0032344E"/>
    <w:rsid w:val="00323546"/>
    <w:rsid w:val="00323DEC"/>
    <w:rsid w:val="00325D99"/>
    <w:rsid w:val="00327B03"/>
    <w:rsid w:val="00330499"/>
    <w:rsid w:val="00331D3A"/>
    <w:rsid w:val="00331FC6"/>
    <w:rsid w:val="0033261E"/>
    <w:rsid w:val="003331D2"/>
    <w:rsid w:val="0033430E"/>
    <w:rsid w:val="00334A11"/>
    <w:rsid w:val="00335511"/>
    <w:rsid w:val="00335BD1"/>
    <w:rsid w:val="003366A7"/>
    <w:rsid w:val="0033789C"/>
    <w:rsid w:val="00340988"/>
    <w:rsid w:val="003419CA"/>
    <w:rsid w:val="00343D4B"/>
    <w:rsid w:val="00346A47"/>
    <w:rsid w:val="0034725A"/>
    <w:rsid w:val="0035067D"/>
    <w:rsid w:val="00352BE5"/>
    <w:rsid w:val="003534C0"/>
    <w:rsid w:val="0035367E"/>
    <w:rsid w:val="00353C5F"/>
    <w:rsid w:val="00354318"/>
    <w:rsid w:val="00354A64"/>
    <w:rsid w:val="00355FC0"/>
    <w:rsid w:val="00356EBE"/>
    <w:rsid w:val="00364647"/>
    <w:rsid w:val="00365913"/>
    <w:rsid w:val="00365AEC"/>
    <w:rsid w:val="0037029D"/>
    <w:rsid w:val="00370C8A"/>
    <w:rsid w:val="0037288F"/>
    <w:rsid w:val="00372E53"/>
    <w:rsid w:val="0037405F"/>
    <w:rsid w:val="00375F5B"/>
    <w:rsid w:val="00376AE8"/>
    <w:rsid w:val="00377222"/>
    <w:rsid w:val="00380C57"/>
    <w:rsid w:val="00381E2B"/>
    <w:rsid w:val="00381F0E"/>
    <w:rsid w:val="00382A8B"/>
    <w:rsid w:val="00383BFA"/>
    <w:rsid w:val="00384FE6"/>
    <w:rsid w:val="003900C9"/>
    <w:rsid w:val="00392130"/>
    <w:rsid w:val="00395323"/>
    <w:rsid w:val="0039562A"/>
    <w:rsid w:val="00395A66"/>
    <w:rsid w:val="00396685"/>
    <w:rsid w:val="003A2A7A"/>
    <w:rsid w:val="003B035C"/>
    <w:rsid w:val="003B07A2"/>
    <w:rsid w:val="003B13FE"/>
    <w:rsid w:val="003B1AB5"/>
    <w:rsid w:val="003B4511"/>
    <w:rsid w:val="003B4C27"/>
    <w:rsid w:val="003B4C57"/>
    <w:rsid w:val="003B6F87"/>
    <w:rsid w:val="003C0054"/>
    <w:rsid w:val="003C0851"/>
    <w:rsid w:val="003C14AB"/>
    <w:rsid w:val="003C1E7C"/>
    <w:rsid w:val="003C2A86"/>
    <w:rsid w:val="003C384D"/>
    <w:rsid w:val="003C4CE5"/>
    <w:rsid w:val="003C668B"/>
    <w:rsid w:val="003D0141"/>
    <w:rsid w:val="003D0DE3"/>
    <w:rsid w:val="003D1437"/>
    <w:rsid w:val="003D1C4C"/>
    <w:rsid w:val="003D40BA"/>
    <w:rsid w:val="003D4B45"/>
    <w:rsid w:val="003D54BF"/>
    <w:rsid w:val="003D629B"/>
    <w:rsid w:val="003D6FFA"/>
    <w:rsid w:val="003D7006"/>
    <w:rsid w:val="003E35F5"/>
    <w:rsid w:val="003F1A4F"/>
    <w:rsid w:val="003F1B6B"/>
    <w:rsid w:val="003F1F79"/>
    <w:rsid w:val="003F2938"/>
    <w:rsid w:val="003F3CFE"/>
    <w:rsid w:val="003F4F88"/>
    <w:rsid w:val="00400273"/>
    <w:rsid w:val="00400415"/>
    <w:rsid w:val="00400F8F"/>
    <w:rsid w:val="00401075"/>
    <w:rsid w:val="00401CBD"/>
    <w:rsid w:val="00403397"/>
    <w:rsid w:val="004035CC"/>
    <w:rsid w:val="00405597"/>
    <w:rsid w:val="004056A0"/>
    <w:rsid w:val="004071DA"/>
    <w:rsid w:val="004079D1"/>
    <w:rsid w:val="00413E13"/>
    <w:rsid w:val="00414AC5"/>
    <w:rsid w:val="004153E9"/>
    <w:rsid w:val="00420862"/>
    <w:rsid w:val="004233F9"/>
    <w:rsid w:val="00424278"/>
    <w:rsid w:val="004259A8"/>
    <w:rsid w:val="00427195"/>
    <w:rsid w:val="00427793"/>
    <w:rsid w:val="004277FA"/>
    <w:rsid w:val="004301A5"/>
    <w:rsid w:val="0043052D"/>
    <w:rsid w:val="00431CBD"/>
    <w:rsid w:val="004349C5"/>
    <w:rsid w:val="00436108"/>
    <w:rsid w:val="004368E1"/>
    <w:rsid w:val="00436A1E"/>
    <w:rsid w:val="00437F68"/>
    <w:rsid w:val="00441691"/>
    <w:rsid w:val="00442B91"/>
    <w:rsid w:val="004440D6"/>
    <w:rsid w:val="0044451B"/>
    <w:rsid w:val="00447F5D"/>
    <w:rsid w:val="00451934"/>
    <w:rsid w:val="004522CD"/>
    <w:rsid w:val="00453DA2"/>
    <w:rsid w:val="00454103"/>
    <w:rsid w:val="00454399"/>
    <w:rsid w:val="00457964"/>
    <w:rsid w:val="00463BA1"/>
    <w:rsid w:val="004643AF"/>
    <w:rsid w:val="00464C62"/>
    <w:rsid w:val="00465A54"/>
    <w:rsid w:val="00466209"/>
    <w:rsid w:val="00470856"/>
    <w:rsid w:val="00471F12"/>
    <w:rsid w:val="00474121"/>
    <w:rsid w:val="0047453F"/>
    <w:rsid w:val="00474A2F"/>
    <w:rsid w:val="004753B1"/>
    <w:rsid w:val="004760B8"/>
    <w:rsid w:val="00476556"/>
    <w:rsid w:val="00477AD0"/>
    <w:rsid w:val="00482935"/>
    <w:rsid w:val="00482BD3"/>
    <w:rsid w:val="004837E8"/>
    <w:rsid w:val="004842FE"/>
    <w:rsid w:val="00484A3D"/>
    <w:rsid w:val="0048581D"/>
    <w:rsid w:val="004859C3"/>
    <w:rsid w:val="00485EDF"/>
    <w:rsid w:val="0048684E"/>
    <w:rsid w:val="00487A87"/>
    <w:rsid w:val="004904F7"/>
    <w:rsid w:val="00490A1F"/>
    <w:rsid w:val="00490ADF"/>
    <w:rsid w:val="0049113E"/>
    <w:rsid w:val="004960BF"/>
    <w:rsid w:val="004967DA"/>
    <w:rsid w:val="004A11B8"/>
    <w:rsid w:val="004A2B4F"/>
    <w:rsid w:val="004A2F2D"/>
    <w:rsid w:val="004A3D20"/>
    <w:rsid w:val="004A3E31"/>
    <w:rsid w:val="004A6596"/>
    <w:rsid w:val="004A75CA"/>
    <w:rsid w:val="004A7ED0"/>
    <w:rsid w:val="004B42C6"/>
    <w:rsid w:val="004B4E67"/>
    <w:rsid w:val="004B58B4"/>
    <w:rsid w:val="004B6063"/>
    <w:rsid w:val="004B7913"/>
    <w:rsid w:val="004B7CD4"/>
    <w:rsid w:val="004C127C"/>
    <w:rsid w:val="004C1A76"/>
    <w:rsid w:val="004C2D18"/>
    <w:rsid w:val="004C3CC5"/>
    <w:rsid w:val="004D17B5"/>
    <w:rsid w:val="004D1BB2"/>
    <w:rsid w:val="004D1CAF"/>
    <w:rsid w:val="004D1D4C"/>
    <w:rsid w:val="004D26AF"/>
    <w:rsid w:val="004D438D"/>
    <w:rsid w:val="004D4E65"/>
    <w:rsid w:val="004D6786"/>
    <w:rsid w:val="004D6AA0"/>
    <w:rsid w:val="004D6EA3"/>
    <w:rsid w:val="004E095F"/>
    <w:rsid w:val="004E0DC1"/>
    <w:rsid w:val="004E2BA2"/>
    <w:rsid w:val="004E33AA"/>
    <w:rsid w:val="004E4688"/>
    <w:rsid w:val="004E4ECE"/>
    <w:rsid w:val="004E5317"/>
    <w:rsid w:val="004E55B9"/>
    <w:rsid w:val="004E7C5E"/>
    <w:rsid w:val="004F053A"/>
    <w:rsid w:val="004F2BA1"/>
    <w:rsid w:val="004F6640"/>
    <w:rsid w:val="004F6DB5"/>
    <w:rsid w:val="005023EE"/>
    <w:rsid w:val="00504B18"/>
    <w:rsid w:val="005079F4"/>
    <w:rsid w:val="00507A20"/>
    <w:rsid w:val="00512813"/>
    <w:rsid w:val="00512F35"/>
    <w:rsid w:val="00516884"/>
    <w:rsid w:val="0051796C"/>
    <w:rsid w:val="0052129A"/>
    <w:rsid w:val="0052149F"/>
    <w:rsid w:val="005234C2"/>
    <w:rsid w:val="00523535"/>
    <w:rsid w:val="005235F8"/>
    <w:rsid w:val="00523933"/>
    <w:rsid w:val="00524715"/>
    <w:rsid w:val="0052522E"/>
    <w:rsid w:val="005257A1"/>
    <w:rsid w:val="005275DB"/>
    <w:rsid w:val="00531249"/>
    <w:rsid w:val="00531E0F"/>
    <w:rsid w:val="00531EC1"/>
    <w:rsid w:val="00533606"/>
    <w:rsid w:val="00534655"/>
    <w:rsid w:val="0053654A"/>
    <w:rsid w:val="005379D8"/>
    <w:rsid w:val="0054439D"/>
    <w:rsid w:val="00544435"/>
    <w:rsid w:val="0054448D"/>
    <w:rsid w:val="005455D7"/>
    <w:rsid w:val="00545ACC"/>
    <w:rsid w:val="0054613F"/>
    <w:rsid w:val="00546A3F"/>
    <w:rsid w:val="00546F02"/>
    <w:rsid w:val="00547477"/>
    <w:rsid w:val="00550637"/>
    <w:rsid w:val="00551E54"/>
    <w:rsid w:val="00552A5B"/>
    <w:rsid w:val="00555666"/>
    <w:rsid w:val="0055769A"/>
    <w:rsid w:val="00557AAB"/>
    <w:rsid w:val="005603D7"/>
    <w:rsid w:val="00560776"/>
    <w:rsid w:val="00561401"/>
    <w:rsid w:val="0056189E"/>
    <w:rsid w:val="00562180"/>
    <w:rsid w:val="005630C2"/>
    <w:rsid w:val="005651F2"/>
    <w:rsid w:val="00566BF2"/>
    <w:rsid w:val="00567F01"/>
    <w:rsid w:val="00567FBF"/>
    <w:rsid w:val="00573D6D"/>
    <w:rsid w:val="0057474A"/>
    <w:rsid w:val="00574E6B"/>
    <w:rsid w:val="00575EC8"/>
    <w:rsid w:val="005770E1"/>
    <w:rsid w:val="00582877"/>
    <w:rsid w:val="00582EAC"/>
    <w:rsid w:val="00585C10"/>
    <w:rsid w:val="00585D18"/>
    <w:rsid w:val="005876D8"/>
    <w:rsid w:val="00590091"/>
    <w:rsid w:val="00591410"/>
    <w:rsid w:val="0059168E"/>
    <w:rsid w:val="00591E80"/>
    <w:rsid w:val="00592118"/>
    <w:rsid w:val="0059553F"/>
    <w:rsid w:val="00597CD5"/>
    <w:rsid w:val="005A3AC1"/>
    <w:rsid w:val="005A5642"/>
    <w:rsid w:val="005A5777"/>
    <w:rsid w:val="005A5A76"/>
    <w:rsid w:val="005A6B6C"/>
    <w:rsid w:val="005B0037"/>
    <w:rsid w:val="005B0EA2"/>
    <w:rsid w:val="005B3818"/>
    <w:rsid w:val="005B52B1"/>
    <w:rsid w:val="005C08FA"/>
    <w:rsid w:val="005C10F2"/>
    <w:rsid w:val="005C1D26"/>
    <w:rsid w:val="005C3E17"/>
    <w:rsid w:val="005D1258"/>
    <w:rsid w:val="005D14FA"/>
    <w:rsid w:val="005D72BC"/>
    <w:rsid w:val="005E0542"/>
    <w:rsid w:val="005E0927"/>
    <w:rsid w:val="005E0EB8"/>
    <w:rsid w:val="005E15BA"/>
    <w:rsid w:val="005E290B"/>
    <w:rsid w:val="005E306B"/>
    <w:rsid w:val="005E4E76"/>
    <w:rsid w:val="005E574C"/>
    <w:rsid w:val="005E61DB"/>
    <w:rsid w:val="005F0271"/>
    <w:rsid w:val="005F28F4"/>
    <w:rsid w:val="005F3297"/>
    <w:rsid w:val="005F39AC"/>
    <w:rsid w:val="005F6406"/>
    <w:rsid w:val="0060059D"/>
    <w:rsid w:val="00605136"/>
    <w:rsid w:val="006063A3"/>
    <w:rsid w:val="0060753A"/>
    <w:rsid w:val="00610CA8"/>
    <w:rsid w:val="00610DCC"/>
    <w:rsid w:val="00611B73"/>
    <w:rsid w:val="006120A9"/>
    <w:rsid w:val="00612C9E"/>
    <w:rsid w:val="00614B06"/>
    <w:rsid w:val="00614DE1"/>
    <w:rsid w:val="006160F6"/>
    <w:rsid w:val="006169D0"/>
    <w:rsid w:val="00616C8F"/>
    <w:rsid w:val="00616EAA"/>
    <w:rsid w:val="00621870"/>
    <w:rsid w:val="00622EAF"/>
    <w:rsid w:val="00623615"/>
    <w:rsid w:val="00623C59"/>
    <w:rsid w:val="00626234"/>
    <w:rsid w:val="00627813"/>
    <w:rsid w:val="00627DF2"/>
    <w:rsid w:val="0063020D"/>
    <w:rsid w:val="00633FA7"/>
    <w:rsid w:val="0063436C"/>
    <w:rsid w:val="00643045"/>
    <w:rsid w:val="006437C9"/>
    <w:rsid w:val="00645C78"/>
    <w:rsid w:val="00646470"/>
    <w:rsid w:val="00646570"/>
    <w:rsid w:val="006467A5"/>
    <w:rsid w:val="006467AE"/>
    <w:rsid w:val="006469D4"/>
    <w:rsid w:val="0065007F"/>
    <w:rsid w:val="00650CB0"/>
    <w:rsid w:val="00650EC4"/>
    <w:rsid w:val="00651D15"/>
    <w:rsid w:val="00652426"/>
    <w:rsid w:val="00652D66"/>
    <w:rsid w:val="006530CF"/>
    <w:rsid w:val="00653BAD"/>
    <w:rsid w:val="00654741"/>
    <w:rsid w:val="0065519A"/>
    <w:rsid w:val="00656814"/>
    <w:rsid w:val="0065793E"/>
    <w:rsid w:val="00662776"/>
    <w:rsid w:val="00665465"/>
    <w:rsid w:val="006666FB"/>
    <w:rsid w:val="0066748C"/>
    <w:rsid w:val="0066773D"/>
    <w:rsid w:val="00667F67"/>
    <w:rsid w:val="006708E4"/>
    <w:rsid w:val="00670BD0"/>
    <w:rsid w:val="006727BE"/>
    <w:rsid w:val="006733AC"/>
    <w:rsid w:val="00674352"/>
    <w:rsid w:val="00677EB4"/>
    <w:rsid w:val="0068055C"/>
    <w:rsid w:val="00680F34"/>
    <w:rsid w:val="006815B2"/>
    <w:rsid w:val="00681C9F"/>
    <w:rsid w:val="00682060"/>
    <w:rsid w:val="006825D3"/>
    <w:rsid w:val="006826B4"/>
    <w:rsid w:val="006826F0"/>
    <w:rsid w:val="00682AC8"/>
    <w:rsid w:val="006831E7"/>
    <w:rsid w:val="0068375A"/>
    <w:rsid w:val="006837AB"/>
    <w:rsid w:val="0068492D"/>
    <w:rsid w:val="0068510B"/>
    <w:rsid w:val="00685E9A"/>
    <w:rsid w:val="00687E71"/>
    <w:rsid w:val="00690343"/>
    <w:rsid w:val="00692DF5"/>
    <w:rsid w:val="0069397B"/>
    <w:rsid w:val="006959B9"/>
    <w:rsid w:val="006973DA"/>
    <w:rsid w:val="00697D05"/>
    <w:rsid w:val="006A0322"/>
    <w:rsid w:val="006A0C8E"/>
    <w:rsid w:val="006A2572"/>
    <w:rsid w:val="006A45A1"/>
    <w:rsid w:val="006A4E33"/>
    <w:rsid w:val="006A5561"/>
    <w:rsid w:val="006A5A76"/>
    <w:rsid w:val="006A6791"/>
    <w:rsid w:val="006A7FB3"/>
    <w:rsid w:val="006A7FB6"/>
    <w:rsid w:val="006B3179"/>
    <w:rsid w:val="006B3693"/>
    <w:rsid w:val="006B43B6"/>
    <w:rsid w:val="006B55E6"/>
    <w:rsid w:val="006B5CBA"/>
    <w:rsid w:val="006B5F8C"/>
    <w:rsid w:val="006B6634"/>
    <w:rsid w:val="006B728F"/>
    <w:rsid w:val="006B7390"/>
    <w:rsid w:val="006B73C5"/>
    <w:rsid w:val="006B791C"/>
    <w:rsid w:val="006C1C4A"/>
    <w:rsid w:val="006C34E1"/>
    <w:rsid w:val="006C3CD7"/>
    <w:rsid w:val="006C434D"/>
    <w:rsid w:val="006C50FA"/>
    <w:rsid w:val="006C5DBB"/>
    <w:rsid w:val="006C5EA7"/>
    <w:rsid w:val="006C752A"/>
    <w:rsid w:val="006D00F5"/>
    <w:rsid w:val="006D4E10"/>
    <w:rsid w:val="006D539E"/>
    <w:rsid w:val="006D7AEE"/>
    <w:rsid w:val="006E0F4A"/>
    <w:rsid w:val="006E1B6F"/>
    <w:rsid w:val="006E1F46"/>
    <w:rsid w:val="006E222F"/>
    <w:rsid w:val="006E280B"/>
    <w:rsid w:val="006E2904"/>
    <w:rsid w:val="006E3610"/>
    <w:rsid w:val="006E3819"/>
    <w:rsid w:val="006E3977"/>
    <w:rsid w:val="006E3EA3"/>
    <w:rsid w:val="006E45EC"/>
    <w:rsid w:val="006E57C3"/>
    <w:rsid w:val="006E5FAB"/>
    <w:rsid w:val="006E6C7E"/>
    <w:rsid w:val="006F0A22"/>
    <w:rsid w:val="006F19FC"/>
    <w:rsid w:val="006F6F4D"/>
    <w:rsid w:val="006F707F"/>
    <w:rsid w:val="006F7134"/>
    <w:rsid w:val="006F72D9"/>
    <w:rsid w:val="006F7D3A"/>
    <w:rsid w:val="007001AC"/>
    <w:rsid w:val="007038FE"/>
    <w:rsid w:val="00706597"/>
    <w:rsid w:val="00707B59"/>
    <w:rsid w:val="0071161C"/>
    <w:rsid w:val="007119C7"/>
    <w:rsid w:val="00713216"/>
    <w:rsid w:val="00716115"/>
    <w:rsid w:val="0072006F"/>
    <w:rsid w:val="00720DE0"/>
    <w:rsid w:val="00721582"/>
    <w:rsid w:val="00721FC5"/>
    <w:rsid w:val="007234D6"/>
    <w:rsid w:val="007236E6"/>
    <w:rsid w:val="0072427E"/>
    <w:rsid w:val="007252FD"/>
    <w:rsid w:val="00730609"/>
    <w:rsid w:val="007313B7"/>
    <w:rsid w:val="00731DA2"/>
    <w:rsid w:val="0073276D"/>
    <w:rsid w:val="0073365D"/>
    <w:rsid w:val="00734122"/>
    <w:rsid w:val="00737F15"/>
    <w:rsid w:val="0074082A"/>
    <w:rsid w:val="007423F5"/>
    <w:rsid w:val="00742877"/>
    <w:rsid w:val="0074393D"/>
    <w:rsid w:val="00743991"/>
    <w:rsid w:val="00744573"/>
    <w:rsid w:val="00746AD4"/>
    <w:rsid w:val="007515C4"/>
    <w:rsid w:val="007540CC"/>
    <w:rsid w:val="00755A08"/>
    <w:rsid w:val="00755D10"/>
    <w:rsid w:val="00756231"/>
    <w:rsid w:val="00757287"/>
    <w:rsid w:val="00757D3C"/>
    <w:rsid w:val="007601E8"/>
    <w:rsid w:val="00762466"/>
    <w:rsid w:val="00764146"/>
    <w:rsid w:val="007646F7"/>
    <w:rsid w:val="00765D1D"/>
    <w:rsid w:val="007663CC"/>
    <w:rsid w:val="00766C89"/>
    <w:rsid w:val="007673B6"/>
    <w:rsid w:val="00767C04"/>
    <w:rsid w:val="007707AA"/>
    <w:rsid w:val="00771D67"/>
    <w:rsid w:val="00774962"/>
    <w:rsid w:val="00780DCA"/>
    <w:rsid w:val="007818C9"/>
    <w:rsid w:val="00782920"/>
    <w:rsid w:val="007865E1"/>
    <w:rsid w:val="007866F2"/>
    <w:rsid w:val="00786C7F"/>
    <w:rsid w:val="00786FAA"/>
    <w:rsid w:val="0079064A"/>
    <w:rsid w:val="0079221D"/>
    <w:rsid w:val="0079238D"/>
    <w:rsid w:val="00794130"/>
    <w:rsid w:val="007A009E"/>
    <w:rsid w:val="007A01F7"/>
    <w:rsid w:val="007A0F8C"/>
    <w:rsid w:val="007A1296"/>
    <w:rsid w:val="007A13C0"/>
    <w:rsid w:val="007A1CB2"/>
    <w:rsid w:val="007A4490"/>
    <w:rsid w:val="007A4F56"/>
    <w:rsid w:val="007A5F1C"/>
    <w:rsid w:val="007A7069"/>
    <w:rsid w:val="007A70D1"/>
    <w:rsid w:val="007A72A6"/>
    <w:rsid w:val="007A7526"/>
    <w:rsid w:val="007B153E"/>
    <w:rsid w:val="007B1B27"/>
    <w:rsid w:val="007B1C0A"/>
    <w:rsid w:val="007B283B"/>
    <w:rsid w:val="007B2F12"/>
    <w:rsid w:val="007B6900"/>
    <w:rsid w:val="007B7884"/>
    <w:rsid w:val="007C0294"/>
    <w:rsid w:val="007C12CC"/>
    <w:rsid w:val="007C1322"/>
    <w:rsid w:val="007C3B0F"/>
    <w:rsid w:val="007C563E"/>
    <w:rsid w:val="007C58F6"/>
    <w:rsid w:val="007C6221"/>
    <w:rsid w:val="007C74F4"/>
    <w:rsid w:val="007C7A1B"/>
    <w:rsid w:val="007D25A6"/>
    <w:rsid w:val="007D425A"/>
    <w:rsid w:val="007D45A9"/>
    <w:rsid w:val="007D5A19"/>
    <w:rsid w:val="007E193D"/>
    <w:rsid w:val="007E31A6"/>
    <w:rsid w:val="007E37B8"/>
    <w:rsid w:val="007E49D2"/>
    <w:rsid w:val="007E4F90"/>
    <w:rsid w:val="007E79B1"/>
    <w:rsid w:val="007F00ED"/>
    <w:rsid w:val="007F25C1"/>
    <w:rsid w:val="007F5FAD"/>
    <w:rsid w:val="007F620C"/>
    <w:rsid w:val="007F66EC"/>
    <w:rsid w:val="007F6CB0"/>
    <w:rsid w:val="008004E8"/>
    <w:rsid w:val="00800BB6"/>
    <w:rsid w:val="00800BE0"/>
    <w:rsid w:val="00801B05"/>
    <w:rsid w:val="008025D3"/>
    <w:rsid w:val="00803005"/>
    <w:rsid w:val="00803799"/>
    <w:rsid w:val="00803E7E"/>
    <w:rsid w:val="00807A32"/>
    <w:rsid w:val="00807BB1"/>
    <w:rsid w:val="008102C8"/>
    <w:rsid w:val="00811A19"/>
    <w:rsid w:val="008127C3"/>
    <w:rsid w:val="00813B77"/>
    <w:rsid w:val="0081413E"/>
    <w:rsid w:val="0081715B"/>
    <w:rsid w:val="00817D26"/>
    <w:rsid w:val="00821A14"/>
    <w:rsid w:val="00825C03"/>
    <w:rsid w:val="008266FA"/>
    <w:rsid w:val="0082752B"/>
    <w:rsid w:val="00830484"/>
    <w:rsid w:val="00830A98"/>
    <w:rsid w:val="00830D6C"/>
    <w:rsid w:val="0083100F"/>
    <w:rsid w:val="00831330"/>
    <w:rsid w:val="00831AF4"/>
    <w:rsid w:val="008373DB"/>
    <w:rsid w:val="00840D1C"/>
    <w:rsid w:val="00840D98"/>
    <w:rsid w:val="00841CA6"/>
    <w:rsid w:val="008425B7"/>
    <w:rsid w:val="00842BE8"/>
    <w:rsid w:val="00845524"/>
    <w:rsid w:val="00847236"/>
    <w:rsid w:val="008510BC"/>
    <w:rsid w:val="0085131C"/>
    <w:rsid w:val="00851335"/>
    <w:rsid w:val="00851D92"/>
    <w:rsid w:val="00852E08"/>
    <w:rsid w:val="00854F3C"/>
    <w:rsid w:val="00857EA5"/>
    <w:rsid w:val="0086048E"/>
    <w:rsid w:val="0086190B"/>
    <w:rsid w:val="00862BF6"/>
    <w:rsid w:val="0086322E"/>
    <w:rsid w:val="00864CF5"/>
    <w:rsid w:val="0087069A"/>
    <w:rsid w:val="00870D3F"/>
    <w:rsid w:val="0087135D"/>
    <w:rsid w:val="00873AD3"/>
    <w:rsid w:val="00874451"/>
    <w:rsid w:val="00875714"/>
    <w:rsid w:val="008771C5"/>
    <w:rsid w:val="008834FA"/>
    <w:rsid w:val="00884F4B"/>
    <w:rsid w:val="008877FF"/>
    <w:rsid w:val="00887A37"/>
    <w:rsid w:val="008944AF"/>
    <w:rsid w:val="0089587E"/>
    <w:rsid w:val="008970D5"/>
    <w:rsid w:val="008A0734"/>
    <w:rsid w:val="008A3851"/>
    <w:rsid w:val="008A4078"/>
    <w:rsid w:val="008A4D8F"/>
    <w:rsid w:val="008A773B"/>
    <w:rsid w:val="008A773E"/>
    <w:rsid w:val="008A7C7F"/>
    <w:rsid w:val="008B0085"/>
    <w:rsid w:val="008B0F81"/>
    <w:rsid w:val="008B2B51"/>
    <w:rsid w:val="008B346E"/>
    <w:rsid w:val="008B4E2A"/>
    <w:rsid w:val="008B5136"/>
    <w:rsid w:val="008B68FD"/>
    <w:rsid w:val="008C1831"/>
    <w:rsid w:val="008C2AE5"/>
    <w:rsid w:val="008C2E09"/>
    <w:rsid w:val="008C32D0"/>
    <w:rsid w:val="008C3677"/>
    <w:rsid w:val="008C3970"/>
    <w:rsid w:val="008C48F8"/>
    <w:rsid w:val="008C5BEC"/>
    <w:rsid w:val="008C629B"/>
    <w:rsid w:val="008C74E6"/>
    <w:rsid w:val="008D3C61"/>
    <w:rsid w:val="008D3D6E"/>
    <w:rsid w:val="008D6485"/>
    <w:rsid w:val="008D706D"/>
    <w:rsid w:val="008D7542"/>
    <w:rsid w:val="008E1ADA"/>
    <w:rsid w:val="008E1C35"/>
    <w:rsid w:val="008E2427"/>
    <w:rsid w:val="008E46ED"/>
    <w:rsid w:val="008E512D"/>
    <w:rsid w:val="008E5891"/>
    <w:rsid w:val="008E5F09"/>
    <w:rsid w:val="008F1C1A"/>
    <w:rsid w:val="008F1DDA"/>
    <w:rsid w:val="008F2063"/>
    <w:rsid w:val="008F39B8"/>
    <w:rsid w:val="008F4222"/>
    <w:rsid w:val="008F6979"/>
    <w:rsid w:val="00901748"/>
    <w:rsid w:val="009018E5"/>
    <w:rsid w:val="00901C1E"/>
    <w:rsid w:val="00902CF4"/>
    <w:rsid w:val="0090478A"/>
    <w:rsid w:val="00904E21"/>
    <w:rsid w:val="009056D3"/>
    <w:rsid w:val="00905841"/>
    <w:rsid w:val="00907D77"/>
    <w:rsid w:val="00910778"/>
    <w:rsid w:val="00910F99"/>
    <w:rsid w:val="00916557"/>
    <w:rsid w:val="00916B28"/>
    <w:rsid w:val="00920A89"/>
    <w:rsid w:val="00921F6C"/>
    <w:rsid w:val="0092358B"/>
    <w:rsid w:val="009235E0"/>
    <w:rsid w:val="009247C4"/>
    <w:rsid w:val="00924A8B"/>
    <w:rsid w:val="00924C3C"/>
    <w:rsid w:val="0092521F"/>
    <w:rsid w:val="00926E97"/>
    <w:rsid w:val="0092700A"/>
    <w:rsid w:val="00927144"/>
    <w:rsid w:val="009306D2"/>
    <w:rsid w:val="009336C9"/>
    <w:rsid w:val="00933D99"/>
    <w:rsid w:val="009346ED"/>
    <w:rsid w:val="00935053"/>
    <w:rsid w:val="0093790A"/>
    <w:rsid w:val="00945A9B"/>
    <w:rsid w:val="00946AD0"/>
    <w:rsid w:val="00947548"/>
    <w:rsid w:val="00950949"/>
    <w:rsid w:val="009528ED"/>
    <w:rsid w:val="00952B22"/>
    <w:rsid w:val="0095350F"/>
    <w:rsid w:val="00953D9C"/>
    <w:rsid w:val="00954F7F"/>
    <w:rsid w:val="00956519"/>
    <w:rsid w:val="00960433"/>
    <w:rsid w:val="009618EC"/>
    <w:rsid w:val="00961BBD"/>
    <w:rsid w:val="00962308"/>
    <w:rsid w:val="0096295D"/>
    <w:rsid w:val="00964086"/>
    <w:rsid w:val="00964479"/>
    <w:rsid w:val="00966399"/>
    <w:rsid w:val="00970924"/>
    <w:rsid w:val="009717A5"/>
    <w:rsid w:val="0097195D"/>
    <w:rsid w:val="009721A4"/>
    <w:rsid w:val="009752EE"/>
    <w:rsid w:val="00976204"/>
    <w:rsid w:val="00976852"/>
    <w:rsid w:val="00982994"/>
    <w:rsid w:val="00984E58"/>
    <w:rsid w:val="0098561A"/>
    <w:rsid w:val="0098675D"/>
    <w:rsid w:val="009875D7"/>
    <w:rsid w:val="00990E2B"/>
    <w:rsid w:val="00993E2E"/>
    <w:rsid w:val="0099514C"/>
    <w:rsid w:val="00995594"/>
    <w:rsid w:val="00996CE3"/>
    <w:rsid w:val="009A07C7"/>
    <w:rsid w:val="009A0958"/>
    <w:rsid w:val="009A1FE1"/>
    <w:rsid w:val="009A20D0"/>
    <w:rsid w:val="009A4BD5"/>
    <w:rsid w:val="009A5259"/>
    <w:rsid w:val="009A6CC8"/>
    <w:rsid w:val="009B38F6"/>
    <w:rsid w:val="009B5022"/>
    <w:rsid w:val="009C17E0"/>
    <w:rsid w:val="009C2134"/>
    <w:rsid w:val="009C21A8"/>
    <w:rsid w:val="009C2688"/>
    <w:rsid w:val="009C3988"/>
    <w:rsid w:val="009C3CAF"/>
    <w:rsid w:val="009D004A"/>
    <w:rsid w:val="009D0197"/>
    <w:rsid w:val="009D19AE"/>
    <w:rsid w:val="009D1A19"/>
    <w:rsid w:val="009D2109"/>
    <w:rsid w:val="009D2805"/>
    <w:rsid w:val="009D3609"/>
    <w:rsid w:val="009D5637"/>
    <w:rsid w:val="009D6A24"/>
    <w:rsid w:val="009D7994"/>
    <w:rsid w:val="009E3963"/>
    <w:rsid w:val="009E46B1"/>
    <w:rsid w:val="009E7AD9"/>
    <w:rsid w:val="009E7F81"/>
    <w:rsid w:val="009F1FFE"/>
    <w:rsid w:val="009F25D1"/>
    <w:rsid w:val="009F31B2"/>
    <w:rsid w:val="009F37FE"/>
    <w:rsid w:val="009F60DF"/>
    <w:rsid w:val="00A04DCF"/>
    <w:rsid w:val="00A066BF"/>
    <w:rsid w:val="00A075EF"/>
    <w:rsid w:val="00A100BF"/>
    <w:rsid w:val="00A107A2"/>
    <w:rsid w:val="00A1253B"/>
    <w:rsid w:val="00A130E7"/>
    <w:rsid w:val="00A16CE6"/>
    <w:rsid w:val="00A17860"/>
    <w:rsid w:val="00A21609"/>
    <w:rsid w:val="00A223DA"/>
    <w:rsid w:val="00A227B0"/>
    <w:rsid w:val="00A25B97"/>
    <w:rsid w:val="00A3179E"/>
    <w:rsid w:val="00A33051"/>
    <w:rsid w:val="00A331CA"/>
    <w:rsid w:val="00A33805"/>
    <w:rsid w:val="00A33AFF"/>
    <w:rsid w:val="00A347D9"/>
    <w:rsid w:val="00A34AB7"/>
    <w:rsid w:val="00A34DB9"/>
    <w:rsid w:val="00A3546D"/>
    <w:rsid w:val="00A35DEB"/>
    <w:rsid w:val="00A365D7"/>
    <w:rsid w:val="00A36E24"/>
    <w:rsid w:val="00A3731C"/>
    <w:rsid w:val="00A3757E"/>
    <w:rsid w:val="00A40262"/>
    <w:rsid w:val="00A40BCF"/>
    <w:rsid w:val="00A450A0"/>
    <w:rsid w:val="00A46D08"/>
    <w:rsid w:val="00A47CB3"/>
    <w:rsid w:val="00A51A79"/>
    <w:rsid w:val="00A52119"/>
    <w:rsid w:val="00A53021"/>
    <w:rsid w:val="00A5544C"/>
    <w:rsid w:val="00A55909"/>
    <w:rsid w:val="00A6271C"/>
    <w:rsid w:val="00A65E47"/>
    <w:rsid w:val="00A667F0"/>
    <w:rsid w:val="00A67908"/>
    <w:rsid w:val="00A708C8"/>
    <w:rsid w:val="00A71F21"/>
    <w:rsid w:val="00A71F44"/>
    <w:rsid w:val="00A72A33"/>
    <w:rsid w:val="00A7376A"/>
    <w:rsid w:val="00A737B7"/>
    <w:rsid w:val="00A75C1E"/>
    <w:rsid w:val="00A77774"/>
    <w:rsid w:val="00A80B2E"/>
    <w:rsid w:val="00A825FB"/>
    <w:rsid w:val="00A83208"/>
    <w:rsid w:val="00A8489E"/>
    <w:rsid w:val="00A85309"/>
    <w:rsid w:val="00A858C3"/>
    <w:rsid w:val="00A87F68"/>
    <w:rsid w:val="00A92951"/>
    <w:rsid w:val="00A94B75"/>
    <w:rsid w:val="00A97EBF"/>
    <w:rsid w:val="00AA04F9"/>
    <w:rsid w:val="00AA0F1D"/>
    <w:rsid w:val="00AA13B3"/>
    <w:rsid w:val="00AA1DCF"/>
    <w:rsid w:val="00AA2E6B"/>
    <w:rsid w:val="00AB56FB"/>
    <w:rsid w:val="00AB57DC"/>
    <w:rsid w:val="00AB5A01"/>
    <w:rsid w:val="00AB6EB6"/>
    <w:rsid w:val="00AB7C9D"/>
    <w:rsid w:val="00AC06D3"/>
    <w:rsid w:val="00AC1DC4"/>
    <w:rsid w:val="00AC2EB2"/>
    <w:rsid w:val="00AC301A"/>
    <w:rsid w:val="00AC3246"/>
    <w:rsid w:val="00AC3317"/>
    <w:rsid w:val="00AC35D7"/>
    <w:rsid w:val="00AC4F12"/>
    <w:rsid w:val="00AC5315"/>
    <w:rsid w:val="00AC611F"/>
    <w:rsid w:val="00AC6655"/>
    <w:rsid w:val="00AC6B73"/>
    <w:rsid w:val="00AC6F1A"/>
    <w:rsid w:val="00AD192B"/>
    <w:rsid w:val="00AD28CD"/>
    <w:rsid w:val="00AD438F"/>
    <w:rsid w:val="00AD7006"/>
    <w:rsid w:val="00AD7780"/>
    <w:rsid w:val="00AE02D5"/>
    <w:rsid w:val="00AE0937"/>
    <w:rsid w:val="00AE0A4F"/>
    <w:rsid w:val="00AE2347"/>
    <w:rsid w:val="00AE32A1"/>
    <w:rsid w:val="00AE4129"/>
    <w:rsid w:val="00AE529B"/>
    <w:rsid w:val="00AE6F79"/>
    <w:rsid w:val="00AF02AD"/>
    <w:rsid w:val="00AF1883"/>
    <w:rsid w:val="00AF7313"/>
    <w:rsid w:val="00B00943"/>
    <w:rsid w:val="00B00AA8"/>
    <w:rsid w:val="00B01D46"/>
    <w:rsid w:val="00B03EA2"/>
    <w:rsid w:val="00B03F3C"/>
    <w:rsid w:val="00B04E09"/>
    <w:rsid w:val="00B0539A"/>
    <w:rsid w:val="00B05431"/>
    <w:rsid w:val="00B06E7A"/>
    <w:rsid w:val="00B075E9"/>
    <w:rsid w:val="00B109FE"/>
    <w:rsid w:val="00B12950"/>
    <w:rsid w:val="00B13F07"/>
    <w:rsid w:val="00B154C8"/>
    <w:rsid w:val="00B21AC2"/>
    <w:rsid w:val="00B21BC8"/>
    <w:rsid w:val="00B23AF1"/>
    <w:rsid w:val="00B26143"/>
    <w:rsid w:val="00B26B85"/>
    <w:rsid w:val="00B30115"/>
    <w:rsid w:val="00B329DF"/>
    <w:rsid w:val="00B34A5D"/>
    <w:rsid w:val="00B361A5"/>
    <w:rsid w:val="00B36583"/>
    <w:rsid w:val="00B372DE"/>
    <w:rsid w:val="00B4292D"/>
    <w:rsid w:val="00B42D14"/>
    <w:rsid w:val="00B477EB"/>
    <w:rsid w:val="00B47C98"/>
    <w:rsid w:val="00B47E5F"/>
    <w:rsid w:val="00B5583D"/>
    <w:rsid w:val="00B57119"/>
    <w:rsid w:val="00B60727"/>
    <w:rsid w:val="00B64DE9"/>
    <w:rsid w:val="00B65206"/>
    <w:rsid w:val="00B66D3D"/>
    <w:rsid w:val="00B7005D"/>
    <w:rsid w:val="00B71560"/>
    <w:rsid w:val="00B71E95"/>
    <w:rsid w:val="00B73B7D"/>
    <w:rsid w:val="00B7599E"/>
    <w:rsid w:val="00B77930"/>
    <w:rsid w:val="00B805B7"/>
    <w:rsid w:val="00B80DFC"/>
    <w:rsid w:val="00B80EDE"/>
    <w:rsid w:val="00B81556"/>
    <w:rsid w:val="00B84254"/>
    <w:rsid w:val="00B84C3A"/>
    <w:rsid w:val="00B859B8"/>
    <w:rsid w:val="00B87988"/>
    <w:rsid w:val="00B87B37"/>
    <w:rsid w:val="00B90574"/>
    <w:rsid w:val="00B90CBD"/>
    <w:rsid w:val="00B92E98"/>
    <w:rsid w:val="00B9529C"/>
    <w:rsid w:val="00B9543F"/>
    <w:rsid w:val="00B9553B"/>
    <w:rsid w:val="00BA3397"/>
    <w:rsid w:val="00BA3CA3"/>
    <w:rsid w:val="00BA3D2D"/>
    <w:rsid w:val="00BA7DC3"/>
    <w:rsid w:val="00BA7DE8"/>
    <w:rsid w:val="00BB161B"/>
    <w:rsid w:val="00BB3ECA"/>
    <w:rsid w:val="00BB411A"/>
    <w:rsid w:val="00BB471C"/>
    <w:rsid w:val="00BB4988"/>
    <w:rsid w:val="00BB573B"/>
    <w:rsid w:val="00BB5D41"/>
    <w:rsid w:val="00BB61E6"/>
    <w:rsid w:val="00BB6415"/>
    <w:rsid w:val="00BB64A1"/>
    <w:rsid w:val="00BB767C"/>
    <w:rsid w:val="00BC1890"/>
    <w:rsid w:val="00BC18E2"/>
    <w:rsid w:val="00BC229A"/>
    <w:rsid w:val="00BC5C4C"/>
    <w:rsid w:val="00BC6B83"/>
    <w:rsid w:val="00BC6DAD"/>
    <w:rsid w:val="00BD2189"/>
    <w:rsid w:val="00BD25AF"/>
    <w:rsid w:val="00BD40F4"/>
    <w:rsid w:val="00BD5592"/>
    <w:rsid w:val="00BD6381"/>
    <w:rsid w:val="00BD7565"/>
    <w:rsid w:val="00BE174B"/>
    <w:rsid w:val="00BE26DA"/>
    <w:rsid w:val="00BE53FC"/>
    <w:rsid w:val="00BE5860"/>
    <w:rsid w:val="00BE673F"/>
    <w:rsid w:val="00BF15BA"/>
    <w:rsid w:val="00BF181C"/>
    <w:rsid w:val="00BF23F1"/>
    <w:rsid w:val="00BF3D62"/>
    <w:rsid w:val="00BF4436"/>
    <w:rsid w:val="00BF5678"/>
    <w:rsid w:val="00BF6518"/>
    <w:rsid w:val="00BF7568"/>
    <w:rsid w:val="00BF7FC6"/>
    <w:rsid w:val="00C01DA2"/>
    <w:rsid w:val="00C03A52"/>
    <w:rsid w:val="00C03FE1"/>
    <w:rsid w:val="00C048B1"/>
    <w:rsid w:val="00C0539B"/>
    <w:rsid w:val="00C056EE"/>
    <w:rsid w:val="00C05C8D"/>
    <w:rsid w:val="00C117A2"/>
    <w:rsid w:val="00C15341"/>
    <w:rsid w:val="00C16AF9"/>
    <w:rsid w:val="00C20E1F"/>
    <w:rsid w:val="00C215E3"/>
    <w:rsid w:val="00C24C05"/>
    <w:rsid w:val="00C26270"/>
    <w:rsid w:val="00C271AB"/>
    <w:rsid w:val="00C30E92"/>
    <w:rsid w:val="00C34221"/>
    <w:rsid w:val="00C37429"/>
    <w:rsid w:val="00C406BA"/>
    <w:rsid w:val="00C411E5"/>
    <w:rsid w:val="00C43F1C"/>
    <w:rsid w:val="00C452B7"/>
    <w:rsid w:val="00C45A12"/>
    <w:rsid w:val="00C46DC8"/>
    <w:rsid w:val="00C5118A"/>
    <w:rsid w:val="00C51F56"/>
    <w:rsid w:val="00C5216B"/>
    <w:rsid w:val="00C53BA5"/>
    <w:rsid w:val="00C53E7F"/>
    <w:rsid w:val="00C53F5E"/>
    <w:rsid w:val="00C566A8"/>
    <w:rsid w:val="00C56C4B"/>
    <w:rsid w:val="00C57C53"/>
    <w:rsid w:val="00C60BB5"/>
    <w:rsid w:val="00C62FBC"/>
    <w:rsid w:val="00C630C0"/>
    <w:rsid w:val="00C65BAC"/>
    <w:rsid w:val="00C65FAA"/>
    <w:rsid w:val="00C66CC2"/>
    <w:rsid w:val="00C70023"/>
    <w:rsid w:val="00C70E10"/>
    <w:rsid w:val="00C72F94"/>
    <w:rsid w:val="00C7317A"/>
    <w:rsid w:val="00C7443C"/>
    <w:rsid w:val="00C74A60"/>
    <w:rsid w:val="00C77B4B"/>
    <w:rsid w:val="00C77FD7"/>
    <w:rsid w:val="00C81ECD"/>
    <w:rsid w:val="00C84EF2"/>
    <w:rsid w:val="00C8530A"/>
    <w:rsid w:val="00C85E17"/>
    <w:rsid w:val="00C87CFF"/>
    <w:rsid w:val="00C91EEF"/>
    <w:rsid w:val="00C92B04"/>
    <w:rsid w:val="00C93302"/>
    <w:rsid w:val="00C96476"/>
    <w:rsid w:val="00C966E5"/>
    <w:rsid w:val="00C96892"/>
    <w:rsid w:val="00C97D01"/>
    <w:rsid w:val="00C97F09"/>
    <w:rsid w:val="00CA1D22"/>
    <w:rsid w:val="00CA71E8"/>
    <w:rsid w:val="00CB0A51"/>
    <w:rsid w:val="00CB2849"/>
    <w:rsid w:val="00CB53CC"/>
    <w:rsid w:val="00CB596F"/>
    <w:rsid w:val="00CC02B6"/>
    <w:rsid w:val="00CC0515"/>
    <w:rsid w:val="00CC0A0F"/>
    <w:rsid w:val="00CC1EDA"/>
    <w:rsid w:val="00CC218A"/>
    <w:rsid w:val="00CC288A"/>
    <w:rsid w:val="00CC2EDE"/>
    <w:rsid w:val="00CC4394"/>
    <w:rsid w:val="00CC44AE"/>
    <w:rsid w:val="00CC5671"/>
    <w:rsid w:val="00CC68F4"/>
    <w:rsid w:val="00CD1D5D"/>
    <w:rsid w:val="00CD1E58"/>
    <w:rsid w:val="00CD23FD"/>
    <w:rsid w:val="00CD3365"/>
    <w:rsid w:val="00CD41B0"/>
    <w:rsid w:val="00CD471E"/>
    <w:rsid w:val="00CD482D"/>
    <w:rsid w:val="00CD695D"/>
    <w:rsid w:val="00CD7A14"/>
    <w:rsid w:val="00CE1BD9"/>
    <w:rsid w:val="00CE2561"/>
    <w:rsid w:val="00CE2B99"/>
    <w:rsid w:val="00CE2FCF"/>
    <w:rsid w:val="00CE318F"/>
    <w:rsid w:val="00CE31BF"/>
    <w:rsid w:val="00CE4682"/>
    <w:rsid w:val="00CE48ED"/>
    <w:rsid w:val="00CE510B"/>
    <w:rsid w:val="00CE6C4B"/>
    <w:rsid w:val="00CF0797"/>
    <w:rsid w:val="00CF36D8"/>
    <w:rsid w:val="00CF46D5"/>
    <w:rsid w:val="00CF6803"/>
    <w:rsid w:val="00CF7710"/>
    <w:rsid w:val="00CF7ADB"/>
    <w:rsid w:val="00D0033D"/>
    <w:rsid w:val="00D006B0"/>
    <w:rsid w:val="00D00BE4"/>
    <w:rsid w:val="00D02560"/>
    <w:rsid w:val="00D03EEB"/>
    <w:rsid w:val="00D04121"/>
    <w:rsid w:val="00D0499F"/>
    <w:rsid w:val="00D0589D"/>
    <w:rsid w:val="00D074EE"/>
    <w:rsid w:val="00D111BB"/>
    <w:rsid w:val="00D155CF"/>
    <w:rsid w:val="00D170E0"/>
    <w:rsid w:val="00D20BE7"/>
    <w:rsid w:val="00D229F0"/>
    <w:rsid w:val="00D23291"/>
    <w:rsid w:val="00D24B67"/>
    <w:rsid w:val="00D25BFA"/>
    <w:rsid w:val="00D25C54"/>
    <w:rsid w:val="00D3160B"/>
    <w:rsid w:val="00D32F80"/>
    <w:rsid w:val="00D338D3"/>
    <w:rsid w:val="00D33F03"/>
    <w:rsid w:val="00D360C6"/>
    <w:rsid w:val="00D365C0"/>
    <w:rsid w:val="00D40B36"/>
    <w:rsid w:val="00D40B48"/>
    <w:rsid w:val="00D42D0E"/>
    <w:rsid w:val="00D42E1F"/>
    <w:rsid w:val="00D445DC"/>
    <w:rsid w:val="00D45287"/>
    <w:rsid w:val="00D4573D"/>
    <w:rsid w:val="00D45E0E"/>
    <w:rsid w:val="00D464C3"/>
    <w:rsid w:val="00D46EEB"/>
    <w:rsid w:val="00D475F2"/>
    <w:rsid w:val="00D4768A"/>
    <w:rsid w:val="00D5094C"/>
    <w:rsid w:val="00D519FF"/>
    <w:rsid w:val="00D5274E"/>
    <w:rsid w:val="00D53693"/>
    <w:rsid w:val="00D537A9"/>
    <w:rsid w:val="00D547AC"/>
    <w:rsid w:val="00D5490A"/>
    <w:rsid w:val="00D55561"/>
    <w:rsid w:val="00D557A0"/>
    <w:rsid w:val="00D55E8D"/>
    <w:rsid w:val="00D57BE3"/>
    <w:rsid w:val="00D60A82"/>
    <w:rsid w:val="00D61169"/>
    <w:rsid w:val="00D61F43"/>
    <w:rsid w:val="00D62BD5"/>
    <w:rsid w:val="00D63F07"/>
    <w:rsid w:val="00D64252"/>
    <w:rsid w:val="00D65855"/>
    <w:rsid w:val="00D664D5"/>
    <w:rsid w:val="00D66C0A"/>
    <w:rsid w:val="00D67F8F"/>
    <w:rsid w:val="00D7104E"/>
    <w:rsid w:val="00D72E5B"/>
    <w:rsid w:val="00D745C3"/>
    <w:rsid w:val="00D759B5"/>
    <w:rsid w:val="00D76F16"/>
    <w:rsid w:val="00D76FB8"/>
    <w:rsid w:val="00D8053D"/>
    <w:rsid w:val="00D828CE"/>
    <w:rsid w:val="00D85C6B"/>
    <w:rsid w:val="00D90528"/>
    <w:rsid w:val="00D90CAD"/>
    <w:rsid w:val="00D92A5C"/>
    <w:rsid w:val="00D93747"/>
    <w:rsid w:val="00D93C60"/>
    <w:rsid w:val="00D93FCC"/>
    <w:rsid w:val="00D944F3"/>
    <w:rsid w:val="00D97010"/>
    <w:rsid w:val="00DA2236"/>
    <w:rsid w:val="00DA2485"/>
    <w:rsid w:val="00DA3338"/>
    <w:rsid w:val="00DA4D00"/>
    <w:rsid w:val="00DA603B"/>
    <w:rsid w:val="00DB1516"/>
    <w:rsid w:val="00DB1C75"/>
    <w:rsid w:val="00DB24E8"/>
    <w:rsid w:val="00DB307A"/>
    <w:rsid w:val="00DB472C"/>
    <w:rsid w:val="00DB4DA3"/>
    <w:rsid w:val="00DB758B"/>
    <w:rsid w:val="00DC1D5F"/>
    <w:rsid w:val="00DC1FAD"/>
    <w:rsid w:val="00DC20F9"/>
    <w:rsid w:val="00DC56ED"/>
    <w:rsid w:val="00DC6B89"/>
    <w:rsid w:val="00DC7F24"/>
    <w:rsid w:val="00DD36FD"/>
    <w:rsid w:val="00DD6D28"/>
    <w:rsid w:val="00DD6E27"/>
    <w:rsid w:val="00DE28C4"/>
    <w:rsid w:val="00DE29A8"/>
    <w:rsid w:val="00DE4225"/>
    <w:rsid w:val="00DE7A57"/>
    <w:rsid w:val="00DE7C1A"/>
    <w:rsid w:val="00DF0289"/>
    <w:rsid w:val="00DF1747"/>
    <w:rsid w:val="00DF1937"/>
    <w:rsid w:val="00DF431B"/>
    <w:rsid w:val="00DF43EA"/>
    <w:rsid w:val="00DF5FB1"/>
    <w:rsid w:val="00DF781B"/>
    <w:rsid w:val="00E0008B"/>
    <w:rsid w:val="00E009F3"/>
    <w:rsid w:val="00E00DDC"/>
    <w:rsid w:val="00E01FA7"/>
    <w:rsid w:val="00E039F6"/>
    <w:rsid w:val="00E03F2B"/>
    <w:rsid w:val="00E0432C"/>
    <w:rsid w:val="00E048E5"/>
    <w:rsid w:val="00E06831"/>
    <w:rsid w:val="00E07B26"/>
    <w:rsid w:val="00E07F21"/>
    <w:rsid w:val="00E10044"/>
    <w:rsid w:val="00E1039C"/>
    <w:rsid w:val="00E1138E"/>
    <w:rsid w:val="00E11B1B"/>
    <w:rsid w:val="00E11B24"/>
    <w:rsid w:val="00E12E23"/>
    <w:rsid w:val="00E12EE6"/>
    <w:rsid w:val="00E13FB6"/>
    <w:rsid w:val="00E1487A"/>
    <w:rsid w:val="00E16DAB"/>
    <w:rsid w:val="00E179A4"/>
    <w:rsid w:val="00E17D3B"/>
    <w:rsid w:val="00E2006D"/>
    <w:rsid w:val="00E2326F"/>
    <w:rsid w:val="00E23AAC"/>
    <w:rsid w:val="00E24432"/>
    <w:rsid w:val="00E25815"/>
    <w:rsid w:val="00E26F1D"/>
    <w:rsid w:val="00E301F9"/>
    <w:rsid w:val="00E3140F"/>
    <w:rsid w:val="00E31A51"/>
    <w:rsid w:val="00E31A7B"/>
    <w:rsid w:val="00E322A9"/>
    <w:rsid w:val="00E3275C"/>
    <w:rsid w:val="00E32769"/>
    <w:rsid w:val="00E33021"/>
    <w:rsid w:val="00E33342"/>
    <w:rsid w:val="00E3344C"/>
    <w:rsid w:val="00E35CC1"/>
    <w:rsid w:val="00E35E7C"/>
    <w:rsid w:val="00E42958"/>
    <w:rsid w:val="00E42B06"/>
    <w:rsid w:val="00E43C88"/>
    <w:rsid w:val="00E448AA"/>
    <w:rsid w:val="00E45060"/>
    <w:rsid w:val="00E47625"/>
    <w:rsid w:val="00E503C0"/>
    <w:rsid w:val="00E50E68"/>
    <w:rsid w:val="00E52038"/>
    <w:rsid w:val="00E52A52"/>
    <w:rsid w:val="00E543F8"/>
    <w:rsid w:val="00E54438"/>
    <w:rsid w:val="00E55DD8"/>
    <w:rsid w:val="00E55F86"/>
    <w:rsid w:val="00E57570"/>
    <w:rsid w:val="00E57F4D"/>
    <w:rsid w:val="00E57FDC"/>
    <w:rsid w:val="00E600D2"/>
    <w:rsid w:val="00E60ED6"/>
    <w:rsid w:val="00E611C6"/>
    <w:rsid w:val="00E62037"/>
    <w:rsid w:val="00E65027"/>
    <w:rsid w:val="00E65773"/>
    <w:rsid w:val="00E65A5A"/>
    <w:rsid w:val="00E6717F"/>
    <w:rsid w:val="00E6719F"/>
    <w:rsid w:val="00E71A4E"/>
    <w:rsid w:val="00E72946"/>
    <w:rsid w:val="00E74DC2"/>
    <w:rsid w:val="00E757E9"/>
    <w:rsid w:val="00E7593F"/>
    <w:rsid w:val="00E768F9"/>
    <w:rsid w:val="00E76AC1"/>
    <w:rsid w:val="00E771B0"/>
    <w:rsid w:val="00E77F8A"/>
    <w:rsid w:val="00E80370"/>
    <w:rsid w:val="00E80AE7"/>
    <w:rsid w:val="00E829CB"/>
    <w:rsid w:val="00E83971"/>
    <w:rsid w:val="00E8554D"/>
    <w:rsid w:val="00E859F8"/>
    <w:rsid w:val="00E86422"/>
    <w:rsid w:val="00E87AD1"/>
    <w:rsid w:val="00E87C9B"/>
    <w:rsid w:val="00E9018A"/>
    <w:rsid w:val="00E90CCC"/>
    <w:rsid w:val="00E9134C"/>
    <w:rsid w:val="00E91731"/>
    <w:rsid w:val="00E93090"/>
    <w:rsid w:val="00E93C34"/>
    <w:rsid w:val="00E93D2D"/>
    <w:rsid w:val="00E97AD2"/>
    <w:rsid w:val="00EA0C5A"/>
    <w:rsid w:val="00EA2291"/>
    <w:rsid w:val="00EA2450"/>
    <w:rsid w:val="00EA2BCA"/>
    <w:rsid w:val="00EA2C71"/>
    <w:rsid w:val="00EA60DD"/>
    <w:rsid w:val="00EA7215"/>
    <w:rsid w:val="00EA76A4"/>
    <w:rsid w:val="00EA7E56"/>
    <w:rsid w:val="00EB021E"/>
    <w:rsid w:val="00EB0C4B"/>
    <w:rsid w:val="00EB0E52"/>
    <w:rsid w:val="00EB0FC5"/>
    <w:rsid w:val="00EB1F77"/>
    <w:rsid w:val="00EB386C"/>
    <w:rsid w:val="00EC0D2F"/>
    <w:rsid w:val="00EC63A7"/>
    <w:rsid w:val="00EC64B1"/>
    <w:rsid w:val="00ED0D35"/>
    <w:rsid w:val="00ED0E9C"/>
    <w:rsid w:val="00ED1E20"/>
    <w:rsid w:val="00ED1EBA"/>
    <w:rsid w:val="00ED2FB9"/>
    <w:rsid w:val="00ED4D48"/>
    <w:rsid w:val="00ED70B4"/>
    <w:rsid w:val="00EE2698"/>
    <w:rsid w:val="00EE2DA4"/>
    <w:rsid w:val="00EE2E5C"/>
    <w:rsid w:val="00EE4005"/>
    <w:rsid w:val="00EE4C19"/>
    <w:rsid w:val="00EE6433"/>
    <w:rsid w:val="00EE6812"/>
    <w:rsid w:val="00EE7DDF"/>
    <w:rsid w:val="00EF171D"/>
    <w:rsid w:val="00EF19BF"/>
    <w:rsid w:val="00EF23AC"/>
    <w:rsid w:val="00EF36DF"/>
    <w:rsid w:val="00EF65C0"/>
    <w:rsid w:val="00EF7534"/>
    <w:rsid w:val="00EF7B68"/>
    <w:rsid w:val="00F00972"/>
    <w:rsid w:val="00F03CD9"/>
    <w:rsid w:val="00F03DBA"/>
    <w:rsid w:val="00F04E06"/>
    <w:rsid w:val="00F05511"/>
    <w:rsid w:val="00F06C75"/>
    <w:rsid w:val="00F0715F"/>
    <w:rsid w:val="00F071CD"/>
    <w:rsid w:val="00F1067B"/>
    <w:rsid w:val="00F10C7F"/>
    <w:rsid w:val="00F11827"/>
    <w:rsid w:val="00F124CD"/>
    <w:rsid w:val="00F127FE"/>
    <w:rsid w:val="00F14DB7"/>
    <w:rsid w:val="00F14F6E"/>
    <w:rsid w:val="00F21AB5"/>
    <w:rsid w:val="00F22ED1"/>
    <w:rsid w:val="00F24866"/>
    <w:rsid w:val="00F25744"/>
    <w:rsid w:val="00F2667A"/>
    <w:rsid w:val="00F30107"/>
    <w:rsid w:val="00F30258"/>
    <w:rsid w:val="00F32473"/>
    <w:rsid w:val="00F32B6C"/>
    <w:rsid w:val="00F37FAF"/>
    <w:rsid w:val="00F407D9"/>
    <w:rsid w:val="00F40BAE"/>
    <w:rsid w:val="00F40C41"/>
    <w:rsid w:val="00F41844"/>
    <w:rsid w:val="00F41E24"/>
    <w:rsid w:val="00F44ADA"/>
    <w:rsid w:val="00F45A66"/>
    <w:rsid w:val="00F47A5A"/>
    <w:rsid w:val="00F504AD"/>
    <w:rsid w:val="00F52B82"/>
    <w:rsid w:val="00F54EDC"/>
    <w:rsid w:val="00F60526"/>
    <w:rsid w:val="00F6130E"/>
    <w:rsid w:val="00F61897"/>
    <w:rsid w:val="00F61EE2"/>
    <w:rsid w:val="00F65354"/>
    <w:rsid w:val="00F65C61"/>
    <w:rsid w:val="00F66421"/>
    <w:rsid w:val="00F66635"/>
    <w:rsid w:val="00F67A88"/>
    <w:rsid w:val="00F717C7"/>
    <w:rsid w:val="00F72551"/>
    <w:rsid w:val="00F7314F"/>
    <w:rsid w:val="00F73983"/>
    <w:rsid w:val="00F74313"/>
    <w:rsid w:val="00F748B8"/>
    <w:rsid w:val="00F75123"/>
    <w:rsid w:val="00F76090"/>
    <w:rsid w:val="00F80464"/>
    <w:rsid w:val="00F8342E"/>
    <w:rsid w:val="00F8456D"/>
    <w:rsid w:val="00F847C6"/>
    <w:rsid w:val="00F85C96"/>
    <w:rsid w:val="00F87CC2"/>
    <w:rsid w:val="00F9063F"/>
    <w:rsid w:val="00F9089D"/>
    <w:rsid w:val="00F90B81"/>
    <w:rsid w:val="00F912E2"/>
    <w:rsid w:val="00F91673"/>
    <w:rsid w:val="00F91943"/>
    <w:rsid w:val="00F91B0E"/>
    <w:rsid w:val="00F91DD6"/>
    <w:rsid w:val="00F935ED"/>
    <w:rsid w:val="00F941FA"/>
    <w:rsid w:val="00F949E4"/>
    <w:rsid w:val="00F9528D"/>
    <w:rsid w:val="00F957AF"/>
    <w:rsid w:val="00F96036"/>
    <w:rsid w:val="00F96886"/>
    <w:rsid w:val="00F96F2A"/>
    <w:rsid w:val="00F97818"/>
    <w:rsid w:val="00FA1933"/>
    <w:rsid w:val="00FA2FB0"/>
    <w:rsid w:val="00FA37EF"/>
    <w:rsid w:val="00FB0E0E"/>
    <w:rsid w:val="00FB0EBD"/>
    <w:rsid w:val="00FB1795"/>
    <w:rsid w:val="00FB27E2"/>
    <w:rsid w:val="00FB2D03"/>
    <w:rsid w:val="00FB44B4"/>
    <w:rsid w:val="00FB44BC"/>
    <w:rsid w:val="00FB4F69"/>
    <w:rsid w:val="00FB73F4"/>
    <w:rsid w:val="00FB784C"/>
    <w:rsid w:val="00FC271A"/>
    <w:rsid w:val="00FC2C6A"/>
    <w:rsid w:val="00FC3211"/>
    <w:rsid w:val="00FC3252"/>
    <w:rsid w:val="00FC3F3F"/>
    <w:rsid w:val="00FC4A60"/>
    <w:rsid w:val="00FC532D"/>
    <w:rsid w:val="00FC5ED7"/>
    <w:rsid w:val="00FD0FA7"/>
    <w:rsid w:val="00FD2E21"/>
    <w:rsid w:val="00FD3C9B"/>
    <w:rsid w:val="00FD3D7B"/>
    <w:rsid w:val="00FD4076"/>
    <w:rsid w:val="00FD5282"/>
    <w:rsid w:val="00FD7766"/>
    <w:rsid w:val="00FE0B80"/>
    <w:rsid w:val="00FE21DA"/>
    <w:rsid w:val="00FE26B5"/>
    <w:rsid w:val="00FE2D09"/>
    <w:rsid w:val="00FE33A2"/>
    <w:rsid w:val="00FE37C0"/>
    <w:rsid w:val="00FE3E44"/>
    <w:rsid w:val="00FE4E97"/>
    <w:rsid w:val="00FE5364"/>
    <w:rsid w:val="00FE5708"/>
    <w:rsid w:val="00FE5D7D"/>
    <w:rsid w:val="00FE5FD6"/>
    <w:rsid w:val="00FF1DE6"/>
    <w:rsid w:val="00FF2B47"/>
    <w:rsid w:val="00FF3EB3"/>
    <w:rsid w:val="00FF44B7"/>
    <w:rsid w:val="00FF4527"/>
    <w:rsid w:val="00FF5CD6"/>
    <w:rsid w:val="00FF5E86"/>
    <w:rsid w:val="011233F2"/>
    <w:rsid w:val="013D30DC"/>
    <w:rsid w:val="015F2BDA"/>
    <w:rsid w:val="016564B9"/>
    <w:rsid w:val="017265DB"/>
    <w:rsid w:val="01954F35"/>
    <w:rsid w:val="01B716CC"/>
    <w:rsid w:val="01C54B55"/>
    <w:rsid w:val="01E94041"/>
    <w:rsid w:val="01F176F8"/>
    <w:rsid w:val="02436AB5"/>
    <w:rsid w:val="026633BF"/>
    <w:rsid w:val="02672D95"/>
    <w:rsid w:val="02C46BBB"/>
    <w:rsid w:val="02EF55D8"/>
    <w:rsid w:val="032E66C4"/>
    <w:rsid w:val="03595555"/>
    <w:rsid w:val="038F0F77"/>
    <w:rsid w:val="03AA4003"/>
    <w:rsid w:val="03B0079F"/>
    <w:rsid w:val="03B961BA"/>
    <w:rsid w:val="03C85BD1"/>
    <w:rsid w:val="047D3301"/>
    <w:rsid w:val="04AF2778"/>
    <w:rsid w:val="04BD1B14"/>
    <w:rsid w:val="04C42EA2"/>
    <w:rsid w:val="051A566B"/>
    <w:rsid w:val="05524952"/>
    <w:rsid w:val="056106F1"/>
    <w:rsid w:val="05AD3936"/>
    <w:rsid w:val="05FA7581"/>
    <w:rsid w:val="05FC4562"/>
    <w:rsid w:val="06295921"/>
    <w:rsid w:val="06BD5DFB"/>
    <w:rsid w:val="06BE78D9"/>
    <w:rsid w:val="06CB1152"/>
    <w:rsid w:val="07283A61"/>
    <w:rsid w:val="076F161C"/>
    <w:rsid w:val="076F3AC2"/>
    <w:rsid w:val="07A80859"/>
    <w:rsid w:val="07C17B6D"/>
    <w:rsid w:val="07D9342B"/>
    <w:rsid w:val="07E92CA1"/>
    <w:rsid w:val="07FE2B6F"/>
    <w:rsid w:val="0811309B"/>
    <w:rsid w:val="08162DCF"/>
    <w:rsid w:val="08351738"/>
    <w:rsid w:val="08712BA0"/>
    <w:rsid w:val="087C4E23"/>
    <w:rsid w:val="08F17FDE"/>
    <w:rsid w:val="08FA1AB7"/>
    <w:rsid w:val="091A7807"/>
    <w:rsid w:val="09424EA2"/>
    <w:rsid w:val="096E0948"/>
    <w:rsid w:val="097D2A18"/>
    <w:rsid w:val="09A12D98"/>
    <w:rsid w:val="09AA3B0B"/>
    <w:rsid w:val="09DE1E10"/>
    <w:rsid w:val="09E244F6"/>
    <w:rsid w:val="0A380086"/>
    <w:rsid w:val="0A5B1BB3"/>
    <w:rsid w:val="0A6E5D8A"/>
    <w:rsid w:val="0A73514E"/>
    <w:rsid w:val="0AC21850"/>
    <w:rsid w:val="0AC977C9"/>
    <w:rsid w:val="0AD83203"/>
    <w:rsid w:val="0B446AEB"/>
    <w:rsid w:val="0B763EBD"/>
    <w:rsid w:val="0B9A670B"/>
    <w:rsid w:val="0BB41299"/>
    <w:rsid w:val="0BC8771C"/>
    <w:rsid w:val="0BEF4CA9"/>
    <w:rsid w:val="0BF07614"/>
    <w:rsid w:val="0C216E2C"/>
    <w:rsid w:val="0C721436"/>
    <w:rsid w:val="0C8C58A1"/>
    <w:rsid w:val="0C9D2956"/>
    <w:rsid w:val="0CE15D14"/>
    <w:rsid w:val="0CFF63CC"/>
    <w:rsid w:val="0CFF79AF"/>
    <w:rsid w:val="0D9B7524"/>
    <w:rsid w:val="0E0367E9"/>
    <w:rsid w:val="0ED2679B"/>
    <w:rsid w:val="0F0F5C69"/>
    <w:rsid w:val="0F28279D"/>
    <w:rsid w:val="0F344788"/>
    <w:rsid w:val="0F832D17"/>
    <w:rsid w:val="0FB6788B"/>
    <w:rsid w:val="0FF30ADF"/>
    <w:rsid w:val="0FFC3E38"/>
    <w:rsid w:val="10021981"/>
    <w:rsid w:val="10063A6C"/>
    <w:rsid w:val="104B5322"/>
    <w:rsid w:val="104F3F68"/>
    <w:rsid w:val="105039AB"/>
    <w:rsid w:val="10886026"/>
    <w:rsid w:val="109810A4"/>
    <w:rsid w:val="11232DEF"/>
    <w:rsid w:val="113D7B6E"/>
    <w:rsid w:val="118539B9"/>
    <w:rsid w:val="11D26F89"/>
    <w:rsid w:val="12897505"/>
    <w:rsid w:val="12A64702"/>
    <w:rsid w:val="12D3179F"/>
    <w:rsid w:val="130335A3"/>
    <w:rsid w:val="130A23C8"/>
    <w:rsid w:val="1312100B"/>
    <w:rsid w:val="131B2827"/>
    <w:rsid w:val="131B48F9"/>
    <w:rsid w:val="133B07D3"/>
    <w:rsid w:val="136058D7"/>
    <w:rsid w:val="13817ED5"/>
    <w:rsid w:val="13B80076"/>
    <w:rsid w:val="13B835A8"/>
    <w:rsid w:val="140B63F8"/>
    <w:rsid w:val="142B0848"/>
    <w:rsid w:val="143C2A55"/>
    <w:rsid w:val="145E0C1D"/>
    <w:rsid w:val="145F4995"/>
    <w:rsid w:val="14980FD1"/>
    <w:rsid w:val="14A469A9"/>
    <w:rsid w:val="14C80B7E"/>
    <w:rsid w:val="14F84D01"/>
    <w:rsid w:val="15284D87"/>
    <w:rsid w:val="153E2FDD"/>
    <w:rsid w:val="156A6F4E"/>
    <w:rsid w:val="158741A4"/>
    <w:rsid w:val="159260DA"/>
    <w:rsid w:val="15B22E4E"/>
    <w:rsid w:val="15C26F8A"/>
    <w:rsid w:val="15E152EB"/>
    <w:rsid w:val="15FB5C3B"/>
    <w:rsid w:val="16783AEC"/>
    <w:rsid w:val="16953A28"/>
    <w:rsid w:val="16C42978"/>
    <w:rsid w:val="172E717D"/>
    <w:rsid w:val="179959BF"/>
    <w:rsid w:val="17AD43A0"/>
    <w:rsid w:val="180D3A5C"/>
    <w:rsid w:val="181D494B"/>
    <w:rsid w:val="183323C1"/>
    <w:rsid w:val="18820C52"/>
    <w:rsid w:val="18AB63FB"/>
    <w:rsid w:val="18AD2173"/>
    <w:rsid w:val="18E143DF"/>
    <w:rsid w:val="18E55082"/>
    <w:rsid w:val="18FC2529"/>
    <w:rsid w:val="18FC63CC"/>
    <w:rsid w:val="191C3550"/>
    <w:rsid w:val="1942272C"/>
    <w:rsid w:val="199C5D44"/>
    <w:rsid w:val="19C00968"/>
    <w:rsid w:val="19F65454"/>
    <w:rsid w:val="19F96A93"/>
    <w:rsid w:val="1A2D0631"/>
    <w:rsid w:val="1A4B1C44"/>
    <w:rsid w:val="1A514D80"/>
    <w:rsid w:val="1A726552"/>
    <w:rsid w:val="1A9C148D"/>
    <w:rsid w:val="1AA85649"/>
    <w:rsid w:val="1AB06D82"/>
    <w:rsid w:val="1AB377E9"/>
    <w:rsid w:val="1AC15A62"/>
    <w:rsid w:val="1AEE0821"/>
    <w:rsid w:val="1B46098B"/>
    <w:rsid w:val="1B5A50B2"/>
    <w:rsid w:val="1B5B5EB7"/>
    <w:rsid w:val="1BC36923"/>
    <w:rsid w:val="1BC7354C"/>
    <w:rsid w:val="1BE22134"/>
    <w:rsid w:val="1C592AE9"/>
    <w:rsid w:val="1C5A43C0"/>
    <w:rsid w:val="1C5B2EFA"/>
    <w:rsid w:val="1C6C7C4F"/>
    <w:rsid w:val="1CA513C9"/>
    <w:rsid w:val="1D1C78C7"/>
    <w:rsid w:val="1D5C4168"/>
    <w:rsid w:val="1D6C1D4D"/>
    <w:rsid w:val="1DE95937"/>
    <w:rsid w:val="1DEB6B8E"/>
    <w:rsid w:val="1DFB55BE"/>
    <w:rsid w:val="1E1C7453"/>
    <w:rsid w:val="1E204DE2"/>
    <w:rsid w:val="1E2C3B3A"/>
    <w:rsid w:val="1EBD633A"/>
    <w:rsid w:val="1F02489B"/>
    <w:rsid w:val="1F196E7F"/>
    <w:rsid w:val="1F7047C5"/>
    <w:rsid w:val="1F745799"/>
    <w:rsid w:val="1F75506D"/>
    <w:rsid w:val="1F97336F"/>
    <w:rsid w:val="1FC658C9"/>
    <w:rsid w:val="200B777F"/>
    <w:rsid w:val="201E74B3"/>
    <w:rsid w:val="201F09F4"/>
    <w:rsid w:val="205F53D1"/>
    <w:rsid w:val="206C2914"/>
    <w:rsid w:val="208337BA"/>
    <w:rsid w:val="20AD2E99"/>
    <w:rsid w:val="20AE1992"/>
    <w:rsid w:val="20E406FC"/>
    <w:rsid w:val="21001A1F"/>
    <w:rsid w:val="21072719"/>
    <w:rsid w:val="220A23E4"/>
    <w:rsid w:val="22495079"/>
    <w:rsid w:val="226E59EF"/>
    <w:rsid w:val="22D4731C"/>
    <w:rsid w:val="23544462"/>
    <w:rsid w:val="23710EED"/>
    <w:rsid w:val="238F318B"/>
    <w:rsid w:val="23942A3B"/>
    <w:rsid w:val="24085B22"/>
    <w:rsid w:val="240A472C"/>
    <w:rsid w:val="2423582F"/>
    <w:rsid w:val="24833D88"/>
    <w:rsid w:val="24B93C4E"/>
    <w:rsid w:val="24C525F3"/>
    <w:rsid w:val="24D26ABE"/>
    <w:rsid w:val="252D051D"/>
    <w:rsid w:val="25493224"/>
    <w:rsid w:val="25494FD2"/>
    <w:rsid w:val="25864BF3"/>
    <w:rsid w:val="25C1100C"/>
    <w:rsid w:val="25CC175F"/>
    <w:rsid w:val="25E43CC2"/>
    <w:rsid w:val="26084C12"/>
    <w:rsid w:val="26243349"/>
    <w:rsid w:val="263F16B0"/>
    <w:rsid w:val="2677074C"/>
    <w:rsid w:val="268810A9"/>
    <w:rsid w:val="269E759F"/>
    <w:rsid w:val="26D70602"/>
    <w:rsid w:val="27400656"/>
    <w:rsid w:val="27775A1C"/>
    <w:rsid w:val="278473A2"/>
    <w:rsid w:val="27BD5803"/>
    <w:rsid w:val="27F00D07"/>
    <w:rsid w:val="28333D17"/>
    <w:rsid w:val="289003E4"/>
    <w:rsid w:val="28954608"/>
    <w:rsid w:val="28983901"/>
    <w:rsid w:val="28A6273B"/>
    <w:rsid w:val="28B43E14"/>
    <w:rsid w:val="28C037FD"/>
    <w:rsid w:val="29B449E4"/>
    <w:rsid w:val="29CD5F2C"/>
    <w:rsid w:val="29D532D8"/>
    <w:rsid w:val="2A07545B"/>
    <w:rsid w:val="2A19752E"/>
    <w:rsid w:val="2A3D083B"/>
    <w:rsid w:val="2A755C85"/>
    <w:rsid w:val="2B406E77"/>
    <w:rsid w:val="2B49432F"/>
    <w:rsid w:val="2B7663F5"/>
    <w:rsid w:val="2BAC6C9C"/>
    <w:rsid w:val="2BC51A2D"/>
    <w:rsid w:val="2BEE68D3"/>
    <w:rsid w:val="2BFF288E"/>
    <w:rsid w:val="2C70291A"/>
    <w:rsid w:val="2C890682"/>
    <w:rsid w:val="2C9A4EAB"/>
    <w:rsid w:val="2CA92052"/>
    <w:rsid w:val="2CAB0CC8"/>
    <w:rsid w:val="2CCD2670"/>
    <w:rsid w:val="2CDA585C"/>
    <w:rsid w:val="2CE81574"/>
    <w:rsid w:val="2CF63C91"/>
    <w:rsid w:val="2D016192"/>
    <w:rsid w:val="2D6329A9"/>
    <w:rsid w:val="2D6C5D01"/>
    <w:rsid w:val="2D7352E2"/>
    <w:rsid w:val="2D83555C"/>
    <w:rsid w:val="2D937732"/>
    <w:rsid w:val="2DAD2FB3"/>
    <w:rsid w:val="2DC40929"/>
    <w:rsid w:val="2DE62184"/>
    <w:rsid w:val="2EC100ED"/>
    <w:rsid w:val="2ECA6C73"/>
    <w:rsid w:val="2ECE0985"/>
    <w:rsid w:val="2ED335CD"/>
    <w:rsid w:val="2EDF2F77"/>
    <w:rsid w:val="2F1C72B3"/>
    <w:rsid w:val="2F2D046C"/>
    <w:rsid w:val="2F2E4616"/>
    <w:rsid w:val="2F3A598B"/>
    <w:rsid w:val="2FCD67FF"/>
    <w:rsid w:val="2FD63906"/>
    <w:rsid w:val="30774293"/>
    <w:rsid w:val="308A1423"/>
    <w:rsid w:val="30FC5E8F"/>
    <w:rsid w:val="3115220C"/>
    <w:rsid w:val="31AA504A"/>
    <w:rsid w:val="31AE76A3"/>
    <w:rsid w:val="31CF685F"/>
    <w:rsid w:val="32024E86"/>
    <w:rsid w:val="328A09D8"/>
    <w:rsid w:val="335D5E21"/>
    <w:rsid w:val="33D60378"/>
    <w:rsid w:val="33E850CB"/>
    <w:rsid w:val="34337579"/>
    <w:rsid w:val="34605E94"/>
    <w:rsid w:val="349B1096"/>
    <w:rsid w:val="34E02B31"/>
    <w:rsid w:val="34F45D99"/>
    <w:rsid w:val="35246EC1"/>
    <w:rsid w:val="352632D3"/>
    <w:rsid w:val="35393501"/>
    <w:rsid w:val="354818EC"/>
    <w:rsid w:val="358950B3"/>
    <w:rsid w:val="359B637E"/>
    <w:rsid w:val="35C366DA"/>
    <w:rsid w:val="35D24B6F"/>
    <w:rsid w:val="35D453A0"/>
    <w:rsid w:val="35D97CAC"/>
    <w:rsid w:val="36010FB1"/>
    <w:rsid w:val="36390A6E"/>
    <w:rsid w:val="3688627B"/>
    <w:rsid w:val="36C83FE5"/>
    <w:rsid w:val="36DA1082"/>
    <w:rsid w:val="36FF47F3"/>
    <w:rsid w:val="37121AC8"/>
    <w:rsid w:val="372F2F1D"/>
    <w:rsid w:val="373D070E"/>
    <w:rsid w:val="376627E4"/>
    <w:rsid w:val="3776777C"/>
    <w:rsid w:val="37A50E17"/>
    <w:rsid w:val="37B035DE"/>
    <w:rsid w:val="37B326F9"/>
    <w:rsid w:val="37E80261"/>
    <w:rsid w:val="37E82428"/>
    <w:rsid w:val="381F42A9"/>
    <w:rsid w:val="382611A3"/>
    <w:rsid w:val="38E03ED6"/>
    <w:rsid w:val="38F848ED"/>
    <w:rsid w:val="39AF184D"/>
    <w:rsid w:val="39E11825"/>
    <w:rsid w:val="3A331955"/>
    <w:rsid w:val="3A3E6C77"/>
    <w:rsid w:val="3A603D98"/>
    <w:rsid w:val="3A6457A6"/>
    <w:rsid w:val="3A971EE4"/>
    <w:rsid w:val="3AC87F64"/>
    <w:rsid w:val="3ACE5C2C"/>
    <w:rsid w:val="3AD55E9F"/>
    <w:rsid w:val="3AE04CB4"/>
    <w:rsid w:val="3AE62E5C"/>
    <w:rsid w:val="3AFD443D"/>
    <w:rsid w:val="3B1672AC"/>
    <w:rsid w:val="3B573C4E"/>
    <w:rsid w:val="3B6E30C3"/>
    <w:rsid w:val="3BA50630"/>
    <w:rsid w:val="3BC77A8B"/>
    <w:rsid w:val="3BDB10B8"/>
    <w:rsid w:val="3BE9676F"/>
    <w:rsid w:val="3C144FB2"/>
    <w:rsid w:val="3C21415B"/>
    <w:rsid w:val="3C2D394E"/>
    <w:rsid w:val="3C9B5AFB"/>
    <w:rsid w:val="3CFC61A5"/>
    <w:rsid w:val="3D6700B4"/>
    <w:rsid w:val="3D7008C2"/>
    <w:rsid w:val="3D9D3CB5"/>
    <w:rsid w:val="3DA95856"/>
    <w:rsid w:val="3DCB18B5"/>
    <w:rsid w:val="3DEC272F"/>
    <w:rsid w:val="3DF71617"/>
    <w:rsid w:val="3E353C88"/>
    <w:rsid w:val="3E493DC2"/>
    <w:rsid w:val="3E55633E"/>
    <w:rsid w:val="3E734675"/>
    <w:rsid w:val="3EA51073"/>
    <w:rsid w:val="3EAD7F28"/>
    <w:rsid w:val="3EF50C5D"/>
    <w:rsid w:val="3F2313E5"/>
    <w:rsid w:val="3F2A5A1C"/>
    <w:rsid w:val="3F676C8D"/>
    <w:rsid w:val="3F6A7BC7"/>
    <w:rsid w:val="3FAD7E35"/>
    <w:rsid w:val="3FE30492"/>
    <w:rsid w:val="40112D51"/>
    <w:rsid w:val="401A33E2"/>
    <w:rsid w:val="402204A1"/>
    <w:rsid w:val="40750522"/>
    <w:rsid w:val="408F1FDB"/>
    <w:rsid w:val="40A02459"/>
    <w:rsid w:val="413B181B"/>
    <w:rsid w:val="418F5E1A"/>
    <w:rsid w:val="41C27CAF"/>
    <w:rsid w:val="41CE08E1"/>
    <w:rsid w:val="41FE48E4"/>
    <w:rsid w:val="425071A0"/>
    <w:rsid w:val="426B6130"/>
    <w:rsid w:val="428B67D2"/>
    <w:rsid w:val="42F2520E"/>
    <w:rsid w:val="4313525E"/>
    <w:rsid w:val="434C3F6F"/>
    <w:rsid w:val="436B112A"/>
    <w:rsid w:val="43754D8C"/>
    <w:rsid w:val="438A200F"/>
    <w:rsid w:val="438D20D6"/>
    <w:rsid w:val="439C056B"/>
    <w:rsid w:val="43A429EF"/>
    <w:rsid w:val="43AF4742"/>
    <w:rsid w:val="43FB4148"/>
    <w:rsid w:val="44071E88"/>
    <w:rsid w:val="442D2EDB"/>
    <w:rsid w:val="44613C8E"/>
    <w:rsid w:val="446B02BE"/>
    <w:rsid w:val="448C5BB0"/>
    <w:rsid w:val="449746A0"/>
    <w:rsid w:val="44AE5CA5"/>
    <w:rsid w:val="44ED1B2B"/>
    <w:rsid w:val="44F44DCB"/>
    <w:rsid w:val="44FC39B7"/>
    <w:rsid w:val="45B06A1A"/>
    <w:rsid w:val="45EF524D"/>
    <w:rsid w:val="46034D19"/>
    <w:rsid w:val="461B197A"/>
    <w:rsid w:val="4643258E"/>
    <w:rsid w:val="4659090B"/>
    <w:rsid w:val="46737CA9"/>
    <w:rsid w:val="467D5397"/>
    <w:rsid w:val="47184A74"/>
    <w:rsid w:val="47631ACB"/>
    <w:rsid w:val="479C322F"/>
    <w:rsid w:val="47C167F2"/>
    <w:rsid w:val="47CA38F8"/>
    <w:rsid w:val="47E744AA"/>
    <w:rsid w:val="481728B6"/>
    <w:rsid w:val="486E697A"/>
    <w:rsid w:val="487D6BBD"/>
    <w:rsid w:val="48E24C72"/>
    <w:rsid w:val="48F74BC1"/>
    <w:rsid w:val="48F8074C"/>
    <w:rsid w:val="49046B6D"/>
    <w:rsid w:val="49695A59"/>
    <w:rsid w:val="497345C2"/>
    <w:rsid w:val="49851D74"/>
    <w:rsid w:val="498E7887"/>
    <w:rsid w:val="49A563CB"/>
    <w:rsid w:val="49AB59AC"/>
    <w:rsid w:val="49B87D1E"/>
    <w:rsid w:val="49DB4B03"/>
    <w:rsid w:val="49DE7B2F"/>
    <w:rsid w:val="4A05519F"/>
    <w:rsid w:val="4A1D4779"/>
    <w:rsid w:val="4A2F038B"/>
    <w:rsid w:val="4A5F6019"/>
    <w:rsid w:val="4A673681"/>
    <w:rsid w:val="4A6C513B"/>
    <w:rsid w:val="4A7E6C1C"/>
    <w:rsid w:val="4AB64608"/>
    <w:rsid w:val="4AB711A6"/>
    <w:rsid w:val="4ACC3719"/>
    <w:rsid w:val="4ADF4A45"/>
    <w:rsid w:val="4AEA77F7"/>
    <w:rsid w:val="4AEB0D5A"/>
    <w:rsid w:val="4AEB34B6"/>
    <w:rsid w:val="4AF20333"/>
    <w:rsid w:val="4B56351D"/>
    <w:rsid w:val="4B666E85"/>
    <w:rsid w:val="4B99427F"/>
    <w:rsid w:val="4B9E7576"/>
    <w:rsid w:val="4BC87245"/>
    <w:rsid w:val="4C196BFC"/>
    <w:rsid w:val="4C1D4631"/>
    <w:rsid w:val="4C7277D3"/>
    <w:rsid w:val="4C7B1665"/>
    <w:rsid w:val="4C842D59"/>
    <w:rsid w:val="4D2D5BB9"/>
    <w:rsid w:val="4DAA3C95"/>
    <w:rsid w:val="4DB766CD"/>
    <w:rsid w:val="4DDA23BB"/>
    <w:rsid w:val="4EB3158A"/>
    <w:rsid w:val="4EE7471F"/>
    <w:rsid w:val="4F0C2A48"/>
    <w:rsid w:val="4F247D92"/>
    <w:rsid w:val="4F4B17C3"/>
    <w:rsid w:val="4F846A83"/>
    <w:rsid w:val="4F905428"/>
    <w:rsid w:val="4FAA0CCD"/>
    <w:rsid w:val="4FCC21D8"/>
    <w:rsid w:val="4FD23C92"/>
    <w:rsid w:val="4FFD05E3"/>
    <w:rsid w:val="500E3DF7"/>
    <w:rsid w:val="501578B8"/>
    <w:rsid w:val="505E1082"/>
    <w:rsid w:val="50616DC4"/>
    <w:rsid w:val="50635F61"/>
    <w:rsid w:val="507F3E9D"/>
    <w:rsid w:val="50EC0D83"/>
    <w:rsid w:val="50EC3522"/>
    <w:rsid w:val="51046B15"/>
    <w:rsid w:val="51404C2B"/>
    <w:rsid w:val="515D56F1"/>
    <w:rsid w:val="5181771E"/>
    <w:rsid w:val="51937451"/>
    <w:rsid w:val="51975A5D"/>
    <w:rsid w:val="51DB270F"/>
    <w:rsid w:val="520D7203"/>
    <w:rsid w:val="52201263"/>
    <w:rsid w:val="522E717A"/>
    <w:rsid w:val="525941F7"/>
    <w:rsid w:val="52676262"/>
    <w:rsid w:val="527D30D3"/>
    <w:rsid w:val="529415BE"/>
    <w:rsid w:val="52C5188C"/>
    <w:rsid w:val="52CA0C50"/>
    <w:rsid w:val="52F062B3"/>
    <w:rsid w:val="5305612D"/>
    <w:rsid w:val="53B316E5"/>
    <w:rsid w:val="540C7047"/>
    <w:rsid w:val="542C4CBB"/>
    <w:rsid w:val="545A07B7"/>
    <w:rsid w:val="552705DC"/>
    <w:rsid w:val="55983DDF"/>
    <w:rsid w:val="55A53F26"/>
    <w:rsid w:val="55BF0815"/>
    <w:rsid w:val="55C01586"/>
    <w:rsid w:val="56177A73"/>
    <w:rsid w:val="561F12B3"/>
    <w:rsid w:val="5630526E"/>
    <w:rsid w:val="56AF1DF3"/>
    <w:rsid w:val="56D30FF9"/>
    <w:rsid w:val="56E61DD1"/>
    <w:rsid w:val="56F978F7"/>
    <w:rsid w:val="5729351F"/>
    <w:rsid w:val="573827C5"/>
    <w:rsid w:val="576E23B2"/>
    <w:rsid w:val="57BC7450"/>
    <w:rsid w:val="57E8410D"/>
    <w:rsid w:val="57F8000E"/>
    <w:rsid w:val="57FE0A99"/>
    <w:rsid w:val="581B3CFC"/>
    <w:rsid w:val="58285232"/>
    <w:rsid w:val="583F16CE"/>
    <w:rsid w:val="584C64D4"/>
    <w:rsid w:val="585D60C3"/>
    <w:rsid w:val="585E4BAF"/>
    <w:rsid w:val="58A81A34"/>
    <w:rsid w:val="58C02FC1"/>
    <w:rsid w:val="58CE4869"/>
    <w:rsid w:val="59295C64"/>
    <w:rsid w:val="593A6404"/>
    <w:rsid w:val="5968540D"/>
    <w:rsid w:val="596A59AE"/>
    <w:rsid w:val="59D80BF8"/>
    <w:rsid w:val="59F842F5"/>
    <w:rsid w:val="5A3C0DFA"/>
    <w:rsid w:val="5A49507E"/>
    <w:rsid w:val="5A5021AA"/>
    <w:rsid w:val="5A61633E"/>
    <w:rsid w:val="5A6F5112"/>
    <w:rsid w:val="5A995E18"/>
    <w:rsid w:val="5AC226A1"/>
    <w:rsid w:val="5AD22C9F"/>
    <w:rsid w:val="5AE14981"/>
    <w:rsid w:val="5B0647F0"/>
    <w:rsid w:val="5B6F3327"/>
    <w:rsid w:val="5B711824"/>
    <w:rsid w:val="5B9938B6"/>
    <w:rsid w:val="5B99417E"/>
    <w:rsid w:val="5C4F07B9"/>
    <w:rsid w:val="5C7F2AA0"/>
    <w:rsid w:val="5CC615C4"/>
    <w:rsid w:val="5CCB7783"/>
    <w:rsid w:val="5D187D58"/>
    <w:rsid w:val="5D4B5084"/>
    <w:rsid w:val="5DBC5D34"/>
    <w:rsid w:val="5DF474C9"/>
    <w:rsid w:val="5E0019CA"/>
    <w:rsid w:val="5E6C7060"/>
    <w:rsid w:val="5F313E05"/>
    <w:rsid w:val="5F751F44"/>
    <w:rsid w:val="5FB158E8"/>
    <w:rsid w:val="601658A6"/>
    <w:rsid w:val="603B3E6D"/>
    <w:rsid w:val="605528AA"/>
    <w:rsid w:val="60747B58"/>
    <w:rsid w:val="60806DF2"/>
    <w:rsid w:val="60901D96"/>
    <w:rsid w:val="60B55E31"/>
    <w:rsid w:val="60FC4A3E"/>
    <w:rsid w:val="61234C7C"/>
    <w:rsid w:val="61A87AE1"/>
    <w:rsid w:val="61BC437E"/>
    <w:rsid w:val="61C96577"/>
    <w:rsid w:val="61EB473F"/>
    <w:rsid w:val="624C27C4"/>
    <w:rsid w:val="625B7B17"/>
    <w:rsid w:val="626F5370"/>
    <w:rsid w:val="62B55B7C"/>
    <w:rsid w:val="62D01784"/>
    <w:rsid w:val="63660ED6"/>
    <w:rsid w:val="636B1FDC"/>
    <w:rsid w:val="637808F8"/>
    <w:rsid w:val="638019EA"/>
    <w:rsid w:val="638766EA"/>
    <w:rsid w:val="638E5CCA"/>
    <w:rsid w:val="63CD2CF9"/>
    <w:rsid w:val="64102829"/>
    <w:rsid w:val="641238BD"/>
    <w:rsid w:val="64324F2C"/>
    <w:rsid w:val="64656A2B"/>
    <w:rsid w:val="6477050C"/>
    <w:rsid w:val="64804373"/>
    <w:rsid w:val="64957EB7"/>
    <w:rsid w:val="649966D5"/>
    <w:rsid w:val="6509660E"/>
    <w:rsid w:val="65393A14"/>
    <w:rsid w:val="6546685C"/>
    <w:rsid w:val="655D6724"/>
    <w:rsid w:val="65757142"/>
    <w:rsid w:val="65B01F28"/>
    <w:rsid w:val="65B838FB"/>
    <w:rsid w:val="660758C0"/>
    <w:rsid w:val="66480A87"/>
    <w:rsid w:val="66AA7E50"/>
    <w:rsid w:val="66B07D06"/>
    <w:rsid w:val="66D9725C"/>
    <w:rsid w:val="67236729"/>
    <w:rsid w:val="672D2AB8"/>
    <w:rsid w:val="67340937"/>
    <w:rsid w:val="67430B7A"/>
    <w:rsid w:val="67560680"/>
    <w:rsid w:val="67651117"/>
    <w:rsid w:val="67BB751F"/>
    <w:rsid w:val="67EE6D37"/>
    <w:rsid w:val="67F72090"/>
    <w:rsid w:val="680345DC"/>
    <w:rsid w:val="680D3662"/>
    <w:rsid w:val="68376930"/>
    <w:rsid w:val="6850354E"/>
    <w:rsid w:val="6888623E"/>
    <w:rsid w:val="68966B41"/>
    <w:rsid w:val="68BB342C"/>
    <w:rsid w:val="68C47A98"/>
    <w:rsid w:val="68CC2C83"/>
    <w:rsid w:val="68EA74FF"/>
    <w:rsid w:val="69361313"/>
    <w:rsid w:val="694A30F8"/>
    <w:rsid w:val="6958090C"/>
    <w:rsid w:val="696262BD"/>
    <w:rsid w:val="696A0640"/>
    <w:rsid w:val="69747914"/>
    <w:rsid w:val="697E40EB"/>
    <w:rsid w:val="697F3B81"/>
    <w:rsid w:val="698912B7"/>
    <w:rsid w:val="69CD6CE4"/>
    <w:rsid w:val="69FD5F40"/>
    <w:rsid w:val="6A0A3950"/>
    <w:rsid w:val="6A1231B1"/>
    <w:rsid w:val="6A152CA1"/>
    <w:rsid w:val="6A5F3F1C"/>
    <w:rsid w:val="6A90057A"/>
    <w:rsid w:val="6ABE50E7"/>
    <w:rsid w:val="6ABF49BB"/>
    <w:rsid w:val="6ACE106A"/>
    <w:rsid w:val="6AE6019A"/>
    <w:rsid w:val="6B2F7CD0"/>
    <w:rsid w:val="6B3C436B"/>
    <w:rsid w:val="6B4B7AAD"/>
    <w:rsid w:val="6B637A3C"/>
    <w:rsid w:val="6BA3608B"/>
    <w:rsid w:val="6C481F43"/>
    <w:rsid w:val="6C55253B"/>
    <w:rsid w:val="6CF22E26"/>
    <w:rsid w:val="6CFA617E"/>
    <w:rsid w:val="6D282CEC"/>
    <w:rsid w:val="6D367A39"/>
    <w:rsid w:val="6D433682"/>
    <w:rsid w:val="6D5533B5"/>
    <w:rsid w:val="6D741A8D"/>
    <w:rsid w:val="6D83038D"/>
    <w:rsid w:val="6D960444"/>
    <w:rsid w:val="6D9629CA"/>
    <w:rsid w:val="6DA5433C"/>
    <w:rsid w:val="6DC522E8"/>
    <w:rsid w:val="6DFE57FA"/>
    <w:rsid w:val="6E004960"/>
    <w:rsid w:val="6E344E0D"/>
    <w:rsid w:val="6E5042A8"/>
    <w:rsid w:val="6E5346DC"/>
    <w:rsid w:val="6E7206C2"/>
    <w:rsid w:val="6E873A42"/>
    <w:rsid w:val="6E8D72AA"/>
    <w:rsid w:val="6EAE0FCF"/>
    <w:rsid w:val="6EC13811"/>
    <w:rsid w:val="6ED45756"/>
    <w:rsid w:val="6ED529FF"/>
    <w:rsid w:val="6F0C5702"/>
    <w:rsid w:val="6F3F60CB"/>
    <w:rsid w:val="6FC145C6"/>
    <w:rsid w:val="6FD23398"/>
    <w:rsid w:val="6FE70C3C"/>
    <w:rsid w:val="6FFF65F7"/>
    <w:rsid w:val="705636CC"/>
    <w:rsid w:val="707309D9"/>
    <w:rsid w:val="7082668E"/>
    <w:rsid w:val="70BF74C3"/>
    <w:rsid w:val="70D56CE6"/>
    <w:rsid w:val="711A294B"/>
    <w:rsid w:val="713162B2"/>
    <w:rsid w:val="717F6C52"/>
    <w:rsid w:val="719621B0"/>
    <w:rsid w:val="71C15C08"/>
    <w:rsid w:val="72031631"/>
    <w:rsid w:val="72312642"/>
    <w:rsid w:val="72386E32"/>
    <w:rsid w:val="72604CD6"/>
    <w:rsid w:val="72E476B5"/>
    <w:rsid w:val="72F50731"/>
    <w:rsid w:val="732C690A"/>
    <w:rsid w:val="733C129F"/>
    <w:rsid w:val="738C2D93"/>
    <w:rsid w:val="73DB2866"/>
    <w:rsid w:val="73ED178D"/>
    <w:rsid w:val="740206E2"/>
    <w:rsid w:val="74225A12"/>
    <w:rsid w:val="744C2862"/>
    <w:rsid w:val="745B5755"/>
    <w:rsid w:val="7461751E"/>
    <w:rsid w:val="74864B85"/>
    <w:rsid w:val="748E25CA"/>
    <w:rsid w:val="74B51309"/>
    <w:rsid w:val="74F31E31"/>
    <w:rsid w:val="74FB2A94"/>
    <w:rsid w:val="752C70F1"/>
    <w:rsid w:val="7533734F"/>
    <w:rsid w:val="757306F0"/>
    <w:rsid w:val="75AF0FF2"/>
    <w:rsid w:val="75B83D0F"/>
    <w:rsid w:val="761402B1"/>
    <w:rsid w:val="762878B8"/>
    <w:rsid w:val="76D8452E"/>
    <w:rsid w:val="774249AA"/>
    <w:rsid w:val="77933457"/>
    <w:rsid w:val="779D7E32"/>
    <w:rsid w:val="77BA0FEE"/>
    <w:rsid w:val="77DE46D3"/>
    <w:rsid w:val="77E43CB3"/>
    <w:rsid w:val="787777D9"/>
    <w:rsid w:val="788F4D15"/>
    <w:rsid w:val="789B6A68"/>
    <w:rsid w:val="78EF46BD"/>
    <w:rsid w:val="78F87A16"/>
    <w:rsid w:val="79194DEF"/>
    <w:rsid w:val="7938109A"/>
    <w:rsid w:val="79533C02"/>
    <w:rsid w:val="797F3C93"/>
    <w:rsid w:val="79E6500F"/>
    <w:rsid w:val="79EF1AFD"/>
    <w:rsid w:val="7A287E87"/>
    <w:rsid w:val="7A7831E9"/>
    <w:rsid w:val="7A7F247F"/>
    <w:rsid w:val="7A8A0B42"/>
    <w:rsid w:val="7AE13BA5"/>
    <w:rsid w:val="7AF35C29"/>
    <w:rsid w:val="7B113011"/>
    <w:rsid w:val="7B237924"/>
    <w:rsid w:val="7B3A006E"/>
    <w:rsid w:val="7B446769"/>
    <w:rsid w:val="7B5B428C"/>
    <w:rsid w:val="7B7C425C"/>
    <w:rsid w:val="7BD61B65"/>
    <w:rsid w:val="7BE10C35"/>
    <w:rsid w:val="7C213B8F"/>
    <w:rsid w:val="7C39281F"/>
    <w:rsid w:val="7C4D5C50"/>
    <w:rsid w:val="7C530217"/>
    <w:rsid w:val="7C5807CC"/>
    <w:rsid w:val="7C9E2682"/>
    <w:rsid w:val="7CA21F19"/>
    <w:rsid w:val="7CAA4389"/>
    <w:rsid w:val="7CDC6000"/>
    <w:rsid w:val="7D01060F"/>
    <w:rsid w:val="7D0E6668"/>
    <w:rsid w:val="7D856FD5"/>
    <w:rsid w:val="7D8A722D"/>
    <w:rsid w:val="7DB12889"/>
    <w:rsid w:val="7DF764EE"/>
    <w:rsid w:val="7E4F632A"/>
    <w:rsid w:val="7EE30820"/>
    <w:rsid w:val="7EE36A72"/>
    <w:rsid w:val="7EFF2B56"/>
    <w:rsid w:val="7F224E48"/>
    <w:rsid w:val="7F6445AF"/>
    <w:rsid w:val="7F9518B0"/>
    <w:rsid w:val="7FD82EB2"/>
    <w:rsid w:val="FF9D5F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sz w:val="28"/>
      <w:szCs w:val="28"/>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eastAsia="宋体" w:cs="Times New Roman"/>
      <w:szCs w:val="22"/>
    </w:rPr>
  </w:style>
  <w:style w:type="paragraph" w:styleId="7">
    <w:name w:val="Normal Indent"/>
    <w:basedOn w:val="1"/>
    <w:link w:val="45"/>
    <w:qFormat/>
    <w:uiPriority w:val="0"/>
    <w:pPr>
      <w:ind w:firstLine="420" w:firstLineChars="200"/>
    </w:pPr>
  </w:style>
  <w:style w:type="paragraph" w:styleId="8">
    <w:name w:val="Document Map"/>
    <w:basedOn w:val="1"/>
    <w:semiHidden/>
    <w:qFormat/>
    <w:uiPriority w:val="0"/>
    <w:pPr>
      <w:shd w:val="clear" w:color="auto" w:fill="000080"/>
    </w:pPr>
  </w:style>
  <w:style w:type="paragraph" w:styleId="9">
    <w:name w:val="annotation text"/>
    <w:basedOn w:val="1"/>
    <w:link w:val="46"/>
    <w:qFormat/>
    <w:uiPriority w:val="0"/>
    <w:pPr>
      <w:jc w:val="left"/>
    </w:pPr>
    <w:rPr>
      <w:sz w:val="18"/>
      <w:szCs w:val="20"/>
    </w:rPr>
  </w:style>
  <w:style w:type="paragraph" w:styleId="10">
    <w:name w:val="Salutation"/>
    <w:basedOn w:val="1"/>
    <w:next w:val="1"/>
    <w:unhideWhenUsed/>
    <w:qFormat/>
    <w:uiPriority w:val="0"/>
    <w:rPr>
      <w:rFonts w:ascii="仿宋_GB2312" w:hAnsi="宋体" w:eastAsia="仿宋_GB2312"/>
      <w:kern w:val="0"/>
      <w:sz w:val="32"/>
      <w:szCs w:val="32"/>
    </w:rPr>
  </w:style>
  <w:style w:type="paragraph" w:styleId="11">
    <w:name w:val="Body Text"/>
    <w:basedOn w:val="1"/>
    <w:next w:val="1"/>
    <w:link w:val="47"/>
    <w:qFormat/>
    <w:uiPriority w:val="0"/>
    <w:pPr>
      <w:spacing w:after="120"/>
    </w:pPr>
  </w:style>
  <w:style w:type="paragraph" w:styleId="12">
    <w:name w:val="Body Text Indent"/>
    <w:basedOn w:val="1"/>
    <w:link w:val="48"/>
    <w:qFormat/>
    <w:uiPriority w:val="0"/>
    <w:pPr>
      <w:ind w:firstLine="630"/>
    </w:pPr>
    <w:rPr>
      <w:sz w:val="32"/>
      <w:szCs w:val="20"/>
    </w:rPr>
  </w:style>
  <w:style w:type="paragraph" w:styleId="13">
    <w:name w:val="toc 5"/>
    <w:basedOn w:val="1"/>
    <w:next w:val="1"/>
    <w:unhideWhenUsed/>
    <w:qFormat/>
    <w:uiPriority w:val="39"/>
    <w:pPr>
      <w:ind w:left="1680" w:leftChars="800"/>
    </w:pPr>
    <w:rPr>
      <w:rFonts w:ascii="Calibri" w:hAnsi="Calibri" w:eastAsia="宋体" w:cs="Times New Roman"/>
      <w:szCs w:val="22"/>
    </w:rPr>
  </w:style>
  <w:style w:type="paragraph" w:styleId="14">
    <w:name w:val="toc 3"/>
    <w:basedOn w:val="1"/>
    <w:next w:val="1"/>
    <w:unhideWhenUsed/>
    <w:qFormat/>
    <w:uiPriority w:val="39"/>
    <w:pPr>
      <w:ind w:left="840" w:leftChars="400"/>
    </w:pPr>
  </w:style>
  <w:style w:type="paragraph" w:styleId="15">
    <w:name w:val="Plain Text"/>
    <w:basedOn w:val="1"/>
    <w:next w:val="16"/>
    <w:link w:val="49"/>
    <w:qFormat/>
    <w:uiPriority w:val="0"/>
    <w:pPr>
      <w:autoSpaceDE w:val="0"/>
      <w:autoSpaceDN w:val="0"/>
      <w:adjustRightInd w:val="0"/>
    </w:pPr>
    <w:rPr>
      <w:rFonts w:ascii="宋体" w:hAnsi="Tms Rmn"/>
      <w:kern w:val="0"/>
      <w:szCs w:val="20"/>
    </w:rPr>
  </w:style>
  <w:style w:type="paragraph" w:customStyle="1" w:styleId="16">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7">
    <w:name w:val="toc 8"/>
    <w:basedOn w:val="1"/>
    <w:next w:val="1"/>
    <w:unhideWhenUsed/>
    <w:qFormat/>
    <w:uiPriority w:val="39"/>
    <w:pPr>
      <w:ind w:left="2940" w:leftChars="1400"/>
    </w:pPr>
    <w:rPr>
      <w:rFonts w:ascii="Calibri" w:hAnsi="Calibri" w:eastAsia="宋体" w:cs="Times New Roman"/>
      <w:szCs w:val="22"/>
    </w:rPr>
  </w:style>
  <w:style w:type="paragraph" w:styleId="18">
    <w:name w:val="Body Text Indent 2"/>
    <w:basedOn w:val="1"/>
    <w:link w:val="50"/>
    <w:qFormat/>
    <w:uiPriority w:val="0"/>
    <w:pPr>
      <w:spacing w:after="120" w:line="480" w:lineRule="auto"/>
      <w:ind w:left="420" w:leftChars="200"/>
    </w:pPr>
  </w:style>
  <w:style w:type="paragraph" w:styleId="19">
    <w:name w:val="Balloon Text"/>
    <w:basedOn w:val="1"/>
    <w:link w:val="51"/>
    <w:semiHidden/>
    <w:qFormat/>
    <w:uiPriority w:val="0"/>
    <w:rPr>
      <w:sz w:val="18"/>
      <w:szCs w:val="18"/>
    </w:rPr>
  </w:style>
  <w:style w:type="paragraph" w:styleId="20">
    <w:name w:val="footer"/>
    <w:basedOn w:val="1"/>
    <w:link w:val="52"/>
    <w:qFormat/>
    <w:uiPriority w:val="0"/>
    <w:pPr>
      <w:tabs>
        <w:tab w:val="center" w:pos="4153"/>
        <w:tab w:val="right" w:pos="8306"/>
      </w:tabs>
      <w:snapToGrid w:val="0"/>
      <w:jc w:val="left"/>
    </w:pPr>
    <w:rPr>
      <w:sz w:val="18"/>
      <w:szCs w:val="20"/>
    </w:rPr>
  </w:style>
  <w:style w:type="paragraph" w:styleId="21">
    <w:name w:val="header"/>
    <w:basedOn w:val="1"/>
    <w:link w:val="53"/>
    <w:qFormat/>
    <w:uiPriority w:val="0"/>
    <w:pPr>
      <w:pBdr>
        <w:bottom w:val="single" w:color="auto" w:sz="6" w:space="1"/>
      </w:pBdr>
      <w:tabs>
        <w:tab w:val="center" w:pos="4153"/>
        <w:tab w:val="right" w:pos="8306"/>
      </w:tabs>
      <w:snapToGrid w:val="0"/>
      <w:jc w:val="center"/>
    </w:pPr>
    <w:rPr>
      <w:sz w:val="18"/>
      <w:szCs w:val="20"/>
    </w:rPr>
  </w:style>
  <w:style w:type="paragraph" w:styleId="22">
    <w:name w:val="toc 1"/>
    <w:basedOn w:val="1"/>
    <w:next w:val="1"/>
    <w:unhideWhenUsed/>
    <w:qFormat/>
    <w:uiPriority w:val="39"/>
    <w:pPr>
      <w:tabs>
        <w:tab w:val="right" w:leader="dot" w:pos="9345"/>
      </w:tabs>
      <w:spacing w:before="120" w:after="120" w:line="620" w:lineRule="exact"/>
      <w:ind w:right="-105" w:rightChars="-50"/>
      <w:jc w:val="left"/>
    </w:pPr>
    <w:rPr>
      <w:b/>
      <w:bCs/>
      <w:caps/>
      <w:sz w:val="20"/>
      <w:szCs w:val="20"/>
    </w:rPr>
  </w:style>
  <w:style w:type="paragraph" w:styleId="23">
    <w:name w:val="toc 4"/>
    <w:basedOn w:val="1"/>
    <w:next w:val="1"/>
    <w:unhideWhenUsed/>
    <w:qFormat/>
    <w:uiPriority w:val="39"/>
    <w:pPr>
      <w:ind w:left="1260" w:leftChars="600"/>
    </w:pPr>
    <w:rPr>
      <w:rFonts w:ascii="Calibri" w:hAnsi="Calibri" w:eastAsia="宋体" w:cs="Times New Roman"/>
      <w:szCs w:val="22"/>
    </w:rPr>
  </w:style>
  <w:style w:type="paragraph" w:styleId="2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5">
    <w:name w:val="toc 6"/>
    <w:basedOn w:val="1"/>
    <w:next w:val="1"/>
    <w:unhideWhenUsed/>
    <w:qFormat/>
    <w:uiPriority w:val="39"/>
    <w:pPr>
      <w:ind w:left="2100" w:leftChars="1000"/>
    </w:pPr>
    <w:rPr>
      <w:rFonts w:ascii="Calibri" w:hAnsi="Calibri" w:eastAsia="宋体" w:cs="Times New Roman"/>
      <w:szCs w:val="22"/>
    </w:rPr>
  </w:style>
  <w:style w:type="paragraph" w:styleId="26">
    <w:name w:val="Body Text Indent 3"/>
    <w:basedOn w:val="1"/>
    <w:link w:val="54"/>
    <w:qFormat/>
    <w:uiPriority w:val="0"/>
    <w:pPr>
      <w:spacing w:after="120"/>
      <w:ind w:left="420" w:leftChars="200"/>
    </w:pPr>
    <w:rPr>
      <w:sz w:val="16"/>
      <w:szCs w:val="16"/>
    </w:rPr>
  </w:style>
  <w:style w:type="paragraph" w:styleId="27">
    <w:name w:val="toc 2"/>
    <w:basedOn w:val="1"/>
    <w:next w:val="1"/>
    <w:unhideWhenUsed/>
    <w:qFormat/>
    <w:uiPriority w:val="39"/>
    <w:pPr>
      <w:spacing w:line="400" w:lineRule="exact"/>
      <w:ind w:left="210" w:leftChars="100" w:firstLine="480" w:firstLineChars="200"/>
      <w:jc w:val="left"/>
    </w:pPr>
    <w:rPr>
      <w:smallCaps/>
      <w:color w:val="000000"/>
      <w:sz w:val="24"/>
    </w:rPr>
  </w:style>
  <w:style w:type="paragraph" w:styleId="28">
    <w:name w:val="toc 9"/>
    <w:basedOn w:val="1"/>
    <w:next w:val="1"/>
    <w:unhideWhenUsed/>
    <w:qFormat/>
    <w:uiPriority w:val="39"/>
    <w:pPr>
      <w:ind w:left="3360" w:leftChars="1600"/>
    </w:pPr>
    <w:rPr>
      <w:rFonts w:ascii="Calibri" w:hAnsi="Calibri" w:eastAsia="宋体" w:cs="Times New Roman"/>
      <w:szCs w:val="22"/>
    </w:rPr>
  </w:style>
  <w:style w:type="paragraph" w:styleId="29">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30">
    <w:name w:val="Title"/>
    <w:basedOn w:val="1"/>
    <w:next w:val="1"/>
    <w:link w:val="55"/>
    <w:qFormat/>
    <w:uiPriority w:val="0"/>
    <w:pPr>
      <w:spacing w:before="240" w:after="60"/>
      <w:jc w:val="center"/>
      <w:outlineLvl w:val="0"/>
    </w:pPr>
    <w:rPr>
      <w:rFonts w:ascii="Calibri Light" w:hAnsi="Calibri Light"/>
      <w:b/>
      <w:bCs/>
      <w:sz w:val="36"/>
      <w:szCs w:val="32"/>
    </w:rPr>
  </w:style>
  <w:style w:type="paragraph" w:styleId="31">
    <w:name w:val="annotation subject"/>
    <w:basedOn w:val="9"/>
    <w:next w:val="9"/>
    <w:link w:val="56"/>
    <w:qFormat/>
    <w:uiPriority w:val="0"/>
    <w:rPr>
      <w:b/>
      <w:bCs/>
      <w:sz w:val="21"/>
      <w:szCs w:val="24"/>
    </w:rPr>
  </w:style>
  <w:style w:type="paragraph" w:styleId="32">
    <w:name w:val="Body Text First Indent"/>
    <w:basedOn w:val="11"/>
    <w:qFormat/>
    <w:uiPriority w:val="0"/>
    <w:pPr>
      <w:snapToGrid w:val="0"/>
      <w:spacing w:before="40" w:after="40" w:line="288" w:lineRule="auto"/>
      <w:ind w:firstLine="482"/>
    </w:pPr>
    <w:rPr>
      <w:rFonts w:ascii="仿宋_GB2312" w:hAnsi="仿宋_GB2312" w:eastAsia="仿宋_GB2312"/>
      <w:szCs w:val="20"/>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rPr>
  </w:style>
  <w:style w:type="character" w:styleId="37">
    <w:name w:val="page number"/>
    <w:basedOn w:val="35"/>
    <w:qFormat/>
    <w:uiPriority w:val="0"/>
  </w:style>
  <w:style w:type="character" w:styleId="38">
    <w:name w:val="FollowedHyperlink"/>
    <w:unhideWhenUsed/>
    <w:qFormat/>
    <w:uiPriority w:val="0"/>
    <w:rPr>
      <w:color w:val="800080"/>
      <w:u w:val="singl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customStyle="1" w:styleId="41">
    <w:name w:val="标题 3 Char"/>
    <w:link w:val="4"/>
    <w:semiHidden/>
    <w:qFormat/>
    <w:uiPriority w:val="0"/>
    <w:rPr>
      <w:rFonts w:eastAsia="宋体"/>
      <w:b/>
      <w:bCs/>
      <w:kern w:val="2"/>
      <w:sz w:val="32"/>
      <w:szCs w:val="32"/>
      <w:lang w:val="en-US" w:eastAsia="zh-CN" w:bidi="ar-SA"/>
    </w:rPr>
  </w:style>
  <w:style w:type="character" w:customStyle="1" w:styleId="42">
    <w:name w:val="标题 1 Char"/>
    <w:link w:val="2"/>
    <w:qFormat/>
    <w:uiPriority w:val="0"/>
    <w:rPr>
      <w:rFonts w:eastAsia="宋体"/>
      <w:b/>
      <w:bCs/>
      <w:kern w:val="44"/>
      <w:sz w:val="44"/>
      <w:szCs w:val="44"/>
      <w:lang w:val="en-US" w:eastAsia="zh-CN" w:bidi="ar-SA"/>
    </w:rPr>
  </w:style>
  <w:style w:type="character" w:customStyle="1" w:styleId="43">
    <w:name w:val="标题 2 Char"/>
    <w:link w:val="3"/>
    <w:qFormat/>
    <w:uiPriority w:val="0"/>
    <w:rPr>
      <w:rFonts w:ascii="Arial" w:hAnsi="Arial" w:eastAsia="黑体"/>
      <w:b/>
      <w:bCs/>
      <w:kern w:val="2"/>
      <w:sz w:val="32"/>
      <w:szCs w:val="32"/>
      <w:lang w:val="en-US" w:eastAsia="zh-CN" w:bidi="ar-SA"/>
    </w:rPr>
  </w:style>
  <w:style w:type="character" w:customStyle="1" w:styleId="44">
    <w:name w:val="标题 4 Char"/>
    <w:link w:val="5"/>
    <w:qFormat/>
    <w:uiPriority w:val="0"/>
    <w:rPr>
      <w:rFonts w:ascii="Cambria" w:hAnsi="Cambria" w:eastAsia="宋体"/>
      <w:b/>
      <w:bCs/>
      <w:kern w:val="2"/>
      <w:sz w:val="28"/>
      <w:szCs w:val="28"/>
      <w:lang w:val="en-US" w:eastAsia="zh-CN" w:bidi="ar-SA"/>
    </w:rPr>
  </w:style>
  <w:style w:type="character" w:customStyle="1" w:styleId="45">
    <w:name w:val="正文缩进 Char1"/>
    <w:link w:val="7"/>
    <w:qFormat/>
    <w:uiPriority w:val="0"/>
    <w:rPr>
      <w:rFonts w:eastAsia="宋体"/>
      <w:kern w:val="2"/>
      <w:sz w:val="21"/>
      <w:szCs w:val="24"/>
      <w:lang w:val="en-US" w:eastAsia="zh-CN" w:bidi="ar-SA"/>
    </w:rPr>
  </w:style>
  <w:style w:type="character" w:customStyle="1" w:styleId="46">
    <w:name w:val="批注文字 Char1"/>
    <w:link w:val="9"/>
    <w:qFormat/>
    <w:uiPriority w:val="0"/>
    <w:rPr>
      <w:kern w:val="2"/>
      <w:sz w:val="18"/>
      <w:lang w:bidi="ar-SA"/>
    </w:rPr>
  </w:style>
  <w:style w:type="character" w:customStyle="1" w:styleId="47">
    <w:name w:val="正文文本 Char"/>
    <w:link w:val="11"/>
    <w:qFormat/>
    <w:uiPriority w:val="0"/>
    <w:rPr>
      <w:rFonts w:eastAsia="宋体"/>
      <w:kern w:val="2"/>
      <w:sz w:val="21"/>
      <w:szCs w:val="24"/>
      <w:lang w:val="en-US" w:eastAsia="zh-CN" w:bidi="ar-SA"/>
    </w:rPr>
  </w:style>
  <w:style w:type="character" w:customStyle="1" w:styleId="48">
    <w:name w:val="正文文本缩进 Char"/>
    <w:link w:val="12"/>
    <w:qFormat/>
    <w:uiPriority w:val="0"/>
    <w:rPr>
      <w:rFonts w:eastAsia="宋体"/>
      <w:kern w:val="2"/>
      <w:sz w:val="32"/>
      <w:lang w:val="en-US" w:eastAsia="zh-CN" w:bidi="ar-SA"/>
    </w:rPr>
  </w:style>
  <w:style w:type="character" w:customStyle="1" w:styleId="49">
    <w:name w:val="纯文本 Char"/>
    <w:link w:val="15"/>
    <w:unhideWhenUsed/>
    <w:qFormat/>
    <w:uiPriority w:val="0"/>
    <w:rPr>
      <w:rFonts w:ascii="宋体" w:hAnsi="Tms Rmn" w:eastAsia="宋体"/>
      <w:sz w:val="21"/>
      <w:lang w:val="en-US" w:eastAsia="zh-CN" w:bidi="ar-SA"/>
    </w:rPr>
  </w:style>
  <w:style w:type="character" w:customStyle="1" w:styleId="50">
    <w:name w:val="正文文本缩进 2 Char"/>
    <w:link w:val="18"/>
    <w:semiHidden/>
    <w:qFormat/>
    <w:uiPriority w:val="0"/>
    <w:rPr>
      <w:rFonts w:eastAsia="宋体"/>
      <w:kern w:val="2"/>
      <w:sz w:val="21"/>
      <w:szCs w:val="24"/>
      <w:lang w:val="en-US" w:eastAsia="zh-CN" w:bidi="ar-SA"/>
    </w:rPr>
  </w:style>
  <w:style w:type="character" w:customStyle="1" w:styleId="51">
    <w:name w:val="批注框文本 Char"/>
    <w:link w:val="19"/>
    <w:semiHidden/>
    <w:qFormat/>
    <w:uiPriority w:val="0"/>
    <w:rPr>
      <w:rFonts w:eastAsia="宋体"/>
      <w:kern w:val="2"/>
      <w:sz w:val="18"/>
      <w:szCs w:val="18"/>
      <w:lang w:val="en-US" w:eastAsia="zh-CN" w:bidi="ar-SA"/>
    </w:rPr>
  </w:style>
  <w:style w:type="character" w:customStyle="1" w:styleId="52">
    <w:name w:val="页脚 Char1"/>
    <w:link w:val="20"/>
    <w:qFormat/>
    <w:uiPriority w:val="0"/>
    <w:rPr>
      <w:rFonts w:eastAsia="宋体"/>
      <w:kern w:val="2"/>
      <w:sz w:val="18"/>
      <w:lang w:val="en-US" w:eastAsia="zh-CN" w:bidi="ar-SA"/>
    </w:rPr>
  </w:style>
  <w:style w:type="character" w:customStyle="1" w:styleId="53">
    <w:name w:val="页眉 Char1"/>
    <w:link w:val="21"/>
    <w:qFormat/>
    <w:uiPriority w:val="0"/>
    <w:rPr>
      <w:rFonts w:eastAsia="宋体"/>
      <w:kern w:val="2"/>
      <w:sz w:val="18"/>
      <w:lang w:val="en-US" w:eastAsia="zh-CN" w:bidi="ar-SA"/>
    </w:rPr>
  </w:style>
  <w:style w:type="character" w:customStyle="1" w:styleId="54">
    <w:name w:val="正文文本缩进 3 Char"/>
    <w:link w:val="26"/>
    <w:semiHidden/>
    <w:qFormat/>
    <w:uiPriority w:val="0"/>
    <w:rPr>
      <w:rFonts w:eastAsia="宋体"/>
      <w:kern w:val="2"/>
      <w:sz w:val="16"/>
      <w:szCs w:val="16"/>
      <w:lang w:val="en-US" w:eastAsia="zh-CN" w:bidi="ar-SA"/>
    </w:rPr>
  </w:style>
  <w:style w:type="character" w:customStyle="1" w:styleId="55">
    <w:name w:val="标题 Char"/>
    <w:link w:val="30"/>
    <w:qFormat/>
    <w:uiPriority w:val="0"/>
    <w:rPr>
      <w:rFonts w:ascii="Calibri Light" w:hAnsi="Calibri Light"/>
      <w:b/>
      <w:bCs/>
      <w:kern w:val="2"/>
      <w:sz w:val="36"/>
      <w:szCs w:val="32"/>
    </w:rPr>
  </w:style>
  <w:style w:type="character" w:customStyle="1" w:styleId="56">
    <w:name w:val="批注主题 Char"/>
    <w:link w:val="31"/>
    <w:qFormat/>
    <w:uiPriority w:val="0"/>
    <w:rPr>
      <w:b/>
      <w:bCs/>
      <w:kern w:val="2"/>
      <w:sz w:val="21"/>
      <w:szCs w:val="24"/>
      <w:lang w:bidi="ar-SA"/>
    </w:rPr>
  </w:style>
  <w:style w:type="character" w:customStyle="1" w:styleId="57">
    <w:name w:val="页眉 Char"/>
    <w:qFormat/>
    <w:uiPriority w:val="0"/>
    <w:rPr>
      <w:rFonts w:eastAsia="宋体"/>
      <w:sz w:val="18"/>
      <w:szCs w:val="18"/>
      <w:lang w:val="en-US" w:eastAsia="zh-CN" w:bidi="ar-SA"/>
    </w:rPr>
  </w:style>
  <w:style w:type="character" w:customStyle="1" w:styleId="58">
    <w:name w:val="（符号）邀请函中一、"/>
    <w:qFormat/>
    <w:uiPriority w:val="0"/>
    <w:rPr>
      <w:rFonts w:ascii="黑体" w:hAnsi="黑体" w:eastAsia="黑体"/>
      <w:b/>
      <w:bCs/>
      <w:sz w:val="24"/>
    </w:rPr>
  </w:style>
  <w:style w:type="character" w:customStyle="1" w:styleId="59">
    <w:name w:val="批注文字 Char"/>
    <w:qFormat/>
    <w:uiPriority w:val="0"/>
    <w:rPr>
      <w:kern w:val="2"/>
      <w:sz w:val="18"/>
    </w:rPr>
  </w:style>
  <w:style w:type="character" w:customStyle="1" w:styleId="60">
    <w:name w:val="页脚 Char"/>
    <w:qFormat/>
    <w:uiPriority w:val="99"/>
    <w:rPr>
      <w:sz w:val="18"/>
      <w:szCs w:val="18"/>
    </w:rPr>
  </w:style>
  <w:style w:type="character" w:customStyle="1" w:styleId="61">
    <w:name w:val="正文首行缩进两字符 Char Char"/>
    <w:link w:val="62"/>
    <w:qFormat/>
    <w:uiPriority w:val="0"/>
    <w:rPr>
      <w:kern w:val="2"/>
      <w:sz w:val="21"/>
      <w:szCs w:val="24"/>
    </w:rPr>
  </w:style>
  <w:style w:type="paragraph" w:customStyle="1" w:styleId="62">
    <w:name w:val="正文首行缩进两字符"/>
    <w:basedOn w:val="1"/>
    <w:link w:val="61"/>
    <w:qFormat/>
    <w:uiPriority w:val="0"/>
    <w:pPr>
      <w:spacing w:line="360" w:lineRule="auto"/>
      <w:ind w:firstLine="200" w:firstLineChars="200"/>
    </w:pPr>
  </w:style>
  <w:style w:type="character" w:customStyle="1" w:styleId="63">
    <w:name w:val="标题 1 Char1"/>
    <w:qFormat/>
    <w:uiPriority w:val="0"/>
    <w:rPr>
      <w:b/>
      <w:bCs/>
      <w:kern w:val="44"/>
      <w:sz w:val="44"/>
      <w:szCs w:val="44"/>
    </w:rPr>
  </w:style>
  <w:style w:type="character" w:customStyle="1" w:styleId="64">
    <w:name w:val="GW-正文 Char"/>
    <w:link w:val="65"/>
    <w:qFormat/>
    <w:uiPriority w:val="0"/>
    <w:rPr>
      <w:rFonts w:eastAsia="仿宋_GB2312"/>
      <w:kern w:val="2"/>
      <w:sz w:val="24"/>
      <w:szCs w:val="24"/>
      <w:lang w:val="en-US" w:eastAsia="zh-CN" w:bidi="ar-SA"/>
    </w:rPr>
  </w:style>
  <w:style w:type="paragraph" w:customStyle="1" w:styleId="65">
    <w:name w:val="GW-正文"/>
    <w:basedOn w:val="1"/>
    <w:link w:val="64"/>
    <w:qFormat/>
    <w:uiPriority w:val="0"/>
    <w:pPr>
      <w:spacing w:line="360" w:lineRule="auto"/>
      <w:ind w:firstLine="200" w:firstLineChars="200"/>
    </w:pPr>
    <w:rPr>
      <w:rFonts w:eastAsia="仿宋_GB2312"/>
      <w:sz w:val="24"/>
    </w:rPr>
  </w:style>
  <w:style w:type="character" w:customStyle="1" w:styleId="66">
    <w:name w:val=" Char Char9"/>
    <w:qFormat/>
    <w:uiPriority w:val="0"/>
    <w:rPr>
      <w:kern w:val="2"/>
      <w:sz w:val="21"/>
    </w:rPr>
  </w:style>
  <w:style w:type="character" w:customStyle="1" w:styleId="67">
    <w:name w:val="列出段落 Char"/>
    <w:link w:val="68"/>
    <w:qFormat/>
    <w:uiPriority w:val="0"/>
    <w:rPr>
      <w:rFonts w:eastAsia="宋体"/>
      <w:kern w:val="2"/>
      <w:sz w:val="21"/>
      <w:szCs w:val="24"/>
      <w:lang w:val="en-US" w:eastAsia="zh-CN" w:bidi="ar-SA"/>
    </w:rPr>
  </w:style>
  <w:style w:type="paragraph" w:styleId="68">
    <w:name w:val="List Paragraph"/>
    <w:basedOn w:val="1"/>
    <w:link w:val="67"/>
    <w:qFormat/>
    <w:uiPriority w:val="0"/>
    <w:pPr>
      <w:ind w:firstLine="420" w:firstLineChars="200"/>
    </w:pPr>
  </w:style>
  <w:style w:type="character" w:customStyle="1" w:styleId="69">
    <w:name w:val="（符号）三标题1.1 Char"/>
    <w:link w:val="70"/>
    <w:qFormat/>
    <w:locked/>
    <w:uiPriority w:val="0"/>
    <w:rPr>
      <w:rFonts w:ascii="宋体" w:hAnsi="宋体" w:eastAsia="宋体"/>
      <w:sz w:val="24"/>
      <w:szCs w:val="24"/>
      <w:lang w:bidi="ar-SA"/>
    </w:rPr>
  </w:style>
  <w:style w:type="paragraph" w:customStyle="1" w:styleId="70">
    <w:name w:val="（符号）三标题1.1"/>
    <w:basedOn w:val="1"/>
    <w:link w:val="69"/>
    <w:qFormat/>
    <w:uiPriority w:val="0"/>
    <w:pPr>
      <w:tabs>
        <w:tab w:val="left" w:pos="700"/>
        <w:tab w:val="left" w:pos="840"/>
      </w:tabs>
      <w:spacing w:line="500" w:lineRule="exact"/>
      <w:ind w:left="840" w:hanging="420"/>
    </w:pPr>
    <w:rPr>
      <w:rFonts w:ascii="宋体" w:hAnsi="宋体"/>
      <w:kern w:val="0"/>
      <w:sz w:val="24"/>
    </w:rPr>
  </w:style>
  <w:style w:type="character" w:customStyle="1" w:styleId="71">
    <w:name w:val="标题 2 Char Char"/>
    <w:qFormat/>
    <w:uiPriority w:val="0"/>
    <w:rPr>
      <w:rFonts w:ascii="Arial" w:hAnsi="Arial" w:eastAsia="黑体"/>
      <w:b/>
      <w:kern w:val="2"/>
      <w:sz w:val="28"/>
      <w:lang w:val="en-US" w:eastAsia="zh-CN" w:bidi="ar-SA"/>
    </w:rPr>
  </w:style>
  <w:style w:type="paragraph" w:customStyle="1" w:styleId="72">
    <w:name w:val="Char2"/>
    <w:basedOn w:val="1"/>
    <w:qFormat/>
    <w:uiPriority w:val="0"/>
    <w:pPr>
      <w:adjustRightInd w:val="0"/>
      <w:spacing w:line="400" w:lineRule="exact"/>
      <w:ind w:firstLine="514" w:firstLineChars="200"/>
    </w:pPr>
    <w:rPr>
      <w:rFonts w:ascii="宋体" w:hAnsi="宋体"/>
      <w:b/>
      <w:spacing w:val="8"/>
      <w:kern w:val="0"/>
      <w:sz w:val="24"/>
      <w:szCs w:val="20"/>
    </w:rPr>
  </w:style>
  <w:style w:type="paragraph" w:customStyle="1" w:styleId="73">
    <w:name w:val="Char2 Char Char"/>
    <w:basedOn w:val="8"/>
    <w:qFormat/>
    <w:uiPriority w:val="0"/>
    <w:rPr>
      <w:rFonts w:ascii="Tahoma" w:hAnsi="Tahoma"/>
      <w:sz w:val="24"/>
    </w:rPr>
  </w:style>
  <w:style w:type="paragraph" w:customStyle="1" w:styleId="74">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75">
    <w:name w:val="_Style 72"/>
    <w:basedOn w:val="2"/>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76">
    <w:name w:val="标题 5（有编号）（绿盟科技）"/>
    <w:basedOn w:val="1"/>
    <w:next w:val="77"/>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7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78">
    <w:name w:val="06、“1.”正文四级标题"/>
    <w:basedOn w:val="1"/>
    <w:qFormat/>
    <w:uiPriority w:val="0"/>
    <w:pPr>
      <w:numPr>
        <w:ilvl w:val="2"/>
        <w:numId w:val="2"/>
      </w:numPr>
      <w:tabs>
        <w:tab w:val="left" w:pos="0"/>
      </w:tabs>
      <w:wordWrap w:val="0"/>
      <w:topLinePunct/>
      <w:ind w:firstLine="803" w:firstLineChars="200"/>
    </w:pPr>
    <w:rPr>
      <w:snapToGrid w:val="0"/>
    </w:rPr>
  </w:style>
  <w:style w:type="paragraph" w:customStyle="1" w:styleId="7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0">
    <w:name w:val="表格"/>
    <w:basedOn w:val="1"/>
    <w:qFormat/>
    <w:uiPriority w:val="0"/>
    <w:pPr>
      <w:spacing w:line="400" w:lineRule="exact"/>
    </w:pPr>
    <w:rPr>
      <w:sz w:val="24"/>
    </w:rPr>
  </w:style>
  <w:style w:type="paragraph" w:customStyle="1" w:styleId="81">
    <w:name w:val="01、普通正文"/>
    <w:basedOn w:val="1"/>
    <w:qFormat/>
    <w:uiPriority w:val="0"/>
    <w:pPr>
      <w:tabs>
        <w:tab w:val="left" w:pos="0"/>
      </w:tabs>
      <w:wordWrap w:val="0"/>
      <w:topLinePunct/>
    </w:pPr>
    <w:rPr>
      <w:snapToGrid w:val="0"/>
    </w:rPr>
  </w:style>
  <w:style w:type="paragraph" w:customStyle="1" w:styleId="82">
    <w:name w:val="Char Char Char Char Char Char Char Char Char Char Char Char Char Char1 Char Char Char Char"/>
    <w:basedOn w:val="1"/>
    <w:qFormat/>
    <w:uiPriority w:val="0"/>
    <w:rPr>
      <w:szCs w:val="21"/>
    </w:rPr>
  </w:style>
  <w:style w:type="paragraph" w:customStyle="1" w:styleId="83">
    <w:name w:val="Char1"/>
    <w:basedOn w:val="1"/>
    <w:qFormat/>
    <w:uiPriority w:val="0"/>
    <w:rPr>
      <w:szCs w:val="21"/>
    </w:rPr>
  </w:style>
  <w:style w:type="paragraph" w:customStyle="1" w:styleId="84">
    <w:name w:val=" Char2 Char Char"/>
    <w:basedOn w:val="8"/>
    <w:qFormat/>
    <w:uiPriority w:val="0"/>
    <w:rPr>
      <w:rFonts w:ascii="Tahoma" w:hAnsi="Tahoma"/>
      <w:sz w:val="24"/>
    </w:rPr>
  </w:style>
  <w:style w:type="paragraph" w:customStyle="1" w:styleId="85">
    <w:name w:val="样式 首行缩进:  2 字符"/>
    <w:basedOn w:val="1"/>
    <w:qFormat/>
    <w:uiPriority w:val="0"/>
    <w:pPr>
      <w:spacing w:line="400" w:lineRule="exact"/>
      <w:ind w:firstLine="200" w:firstLineChars="200"/>
    </w:pPr>
    <w:rPr>
      <w:rFonts w:cs="宋体"/>
      <w:sz w:val="24"/>
    </w:rPr>
  </w:style>
  <w:style w:type="paragraph" w:customStyle="1" w:styleId="86">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87">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88">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9">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90">
    <w:name w:val="03、“注：”正文(加粗，首行缩进2字符)"/>
    <w:basedOn w:val="81"/>
    <w:qFormat/>
    <w:uiPriority w:val="0"/>
    <w:pPr>
      <w:ind w:firstLine="480" w:firstLineChars="200"/>
    </w:pPr>
    <w:rPr>
      <w:b/>
    </w:rPr>
  </w:style>
  <w:style w:type="paragraph" w:customStyle="1" w:styleId="91">
    <w:name w:val="msolistparagraph"/>
    <w:basedOn w:val="1"/>
    <w:qFormat/>
    <w:uiPriority w:val="0"/>
    <w:pPr>
      <w:ind w:firstLine="420" w:firstLineChars="200"/>
    </w:pPr>
    <w:rPr>
      <w:rFonts w:ascii="Calibri" w:hAnsi="Calibri" w:cs="Calibri"/>
      <w:szCs w:val="22"/>
    </w:rPr>
  </w:style>
  <w:style w:type="paragraph" w:customStyle="1" w:styleId="92">
    <w:name w:val="null3"/>
    <w:qFormat/>
    <w:uiPriority w:val="0"/>
    <w:rPr>
      <w:rFonts w:hint="eastAsia" w:ascii="Calibri" w:hAnsi="Calibri" w:eastAsia="宋体" w:cs="Times New Roman"/>
      <w:lang w:val="en-US" w:eastAsia="zh-Hans"/>
    </w:rPr>
  </w:style>
  <w:style w:type="character" w:customStyle="1" w:styleId="93">
    <w:name w:val="NormalCharacter"/>
    <w:qFormat/>
    <w:uiPriority w:val="0"/>
  </w:style>
  <w:style w:type="paragraph" w:customStyle="1" w:styleId="94">
    <w:name w:val="规范 - 附录 - 表格 - 标题"/>
    <w:basedOn w:val="1"/>
    <w:qFormat/>
    <w:uiPriority w:val="0"/>
    <w:pPr>
      <w:spacing w:line="560" w:lineRule="exact"/>
      <w:jc w:val="center"/>
    </w:pPr>
    <w:rPr>
      <w:rFonts w:ascii="方正小标宋简体" w:hAnsi="宋体" w:eastAsia="方正小标宋简体"/>
      <w:sz w:val="28"/>
      <w:szCs w:val="28"/>
    </w:rPr>
  </w:style>
  <w:style w:type="paragraph" w:customStyle="1" w:styleId="95">
    <w:name w:val="规范 - 附录 - 序号级别2"/>
    <w:basedOn w:val="96"/>
    <w:qFormat/>
    <w:uiPriority w:val="0"/>
  </w:style>
  <w:style w:type="paragraph" w:customStyle="1" w:styleId="96">
    <w:name w:val="规范 - 附录 - 序号级别1"/>
    <w:basedOn w:val="1"/>
    <w:qFormat/>
    <w:uiPriority w:val="0"/>
    <w:pPr>
      <w:spacing w:line="560" w:lineRule="exact"/>
      <w:ind w:firstLine="640" w:firstLineChars="200"/>
      <w:jc w:val="left"/>
    </w:pPr>
    <w:rPr>
      <w:rFonts w:ascii="方正仿宋简体" w:hAnsi="宋体" w:eastAsia="方正仿宋简体" w:cs="Arial"/>
      <w:kern w:val="0"/>
      <w:sz w:val="32"/>
      <w:szCs w:val="32"/>
    </w:rPr>
  </w:style>
  <w:style w:type="paragraph" w:customStyle="1" w:styleId="97">
    <w:name w:val="规范 - 附录 - 序号"/>
    <w:basedOn w:val="1"/>
    <w:next w:val="1"/>
    <w:qFormat/>
    <w:uiPriority w:val="0"/>
    <w:pPr>
      <w:spacing w:line="560" w:lineRule="exact"/>
    </w:pPr>
    <w:rPr>
      <w:rFonts w:ascii="方正仿宋简体" w:hAnsi="宋体" w:eastAsia="方正仿宋简体" w:cs="Arial"/>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24</Pages>
  <Words>7183</Words>
  <Characters>7638</Characters>
  <Lines>271</Lines>
  <Paragraphs>76</Paragraphs>
  <TotalTime>1</TotalTime>
  <ScaleCrop>false</ScaleCrop>
  <LinksUpToDate>false</LinksUpToDate>
  <CharactersWithSpaces>7702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2017-12-06T03:34:00Z</dcterms:created>
  <dc:creator>吴正新</dc:creator>
  <cp:lastModifiedBy>Administrator</cp:lastModifiedBy>
  <cp:lastPrinted>2017-11-14T17:53:00Z</cp:lastPrinted>
  <dcterms:modified xsi:type="dcterms:W3CDTF">2025-03-03T07:08:42Z</dcterms:modified>
  <dc:title>招标编号：xx政采招[xxxx] xxx号</dc:title>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9CB7CFEF16BA4DBF9278C0396902F895_13</vt:lpwstr>
  </property>
  <property fmtid="{D5CDD505-2E9C-101B-9397-08002B2CF9AE}" pid="4" name="KSOTemplateDocerSaveRecord">
    <vt:lpwstr>eyJoZGlkIjoiNGY0ZWY4NWUzZGEzNzA4Y2UzODA1YmM3MDAwNDdkMDIifQ==</vt:lpwstr>
  </property>
</Properties>
</file>