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骑骡沟、德姑钢箱梁吊装服务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招（议）标编号：</w:t>
      </w:r>
      <w:r>
        <w:rPr>
          <w:rFonts w:hint="eastAsia" w:ascii="黑体" w:hAnsi="黑体" w:eastAsia="黑体"/>
          <w:color w:val="auto"/>
          <w:sz w:val="32"/>
          <w:szCs w:val="32"/>
        </w:rPr>
        <w:t xml:space="preserve"> CG-XTY-202</w:t>
      </w:r>
      <w:r>
        <w:rPr>
          <w:rFonts w:hint="eastAsia" w:ascii="黑体" w:hAnsi="黑体" w:eastAsia="黑体"/>
          <w:color w:val="auto"/>
          <w:sz w:val="32"/>
          <w:szCs w:val="32"/>
          <w:lang w:val="en-US" w:eastAsia="zh-CN"/>
        </w:rPr>
        <w:t>40302</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rPr>
          <w:color w:val="auto"/>
        </w:rPr>
      </w:pPr>
    </w:p>
    <w:p>
      <w:pPr>
        <w:rPr>
          <w:color w:val="auto"/>
        </w:rPr>
      </w:pPr>
    </w:p>
    <w:p>
      <w:pPr>
        <w:rPr>
          <w:color w:val="auto"/>
        </w:rPr>
      </w:pPr>
    </w:p>
    <w:p>
      <w:pPr>
        <w:pStyle w:val="7"/>
        <w:jc w:val="center"/>
        <w:rPr>
          <w:rFonts w:ascii="黑体" w:hAnsi="黑体" w:eastAsia="黑体"/>
          <w:color w:val="auto"/>
          <w:sz w:val="32"/>
          <w:szCs w:val="32"/>
        </w:rPr>
      </w:pPr>
      <w:r>
        <w:rPr>
          <w:rFonts w:hint="eastAsia" w:ascii="黑体" w:hAnsi="黑体" w:eastAsia="黑体"/>
          <w:color w:val="auto"/>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03</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02</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骑骡沟互通D匝道钢箱梁、德姑大桥吊装服务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下旬</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下旬</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10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周栋</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13548253233</w:t>
      </w:r>
    </w:p>
    <w:p>
      <w:pPr>
        <w:pStyle w:val="2"/>
        <w:rPr>
          <w:rFonts w:hint="eastAsia" w:asciiTheme="minorEastAsia" w:hAnsiTheme="minorEastAsia" w:eastAsiaTheme="minorEastAsia" w:cstheme="minorEastAsia"/>
          <w:b w:val="0"/>
          <w:bCs w:val="0"/>
          <w:sz w:val="24"/>
          <w:szCs w:val="24"/>
          <w:lang w:val="en-US" w:eastAsia="zh-CN"/>
        </w:rPr>
      </w:pPr>
      <w:r>
        <w:rPr>
          <w:rFonts w:hint="eastAsia"/>
          <w:color w:val="000000" w:themeColor="text1"/>
          <w:sz w:val="24"/>
          <w:lang w:val="en-US" w:eastAsia="zh-CN"/>
          <w14:textFill>
            <w14:solidFill>
              <w14:schemeClr w14:val="tx1"/>
            </w14:solidFill>
          </w14:textFill>
        </w:rPr>
        <w:t>使用地址：</w:t>
      </w:r>
      <w:r>
        <w:rPr>
          <w:rFonts w:hint="eastAsia" w:asciiTheme="minorEastAsia" w:hAnsiTheme="minorEastAsia" w:eastAsiaTheme="minorEastAsia" w:cstheme="minorEastAsia"/>
          <w:b w:val="0"/>
          <w:bCs w:val="0"/>
          <w:sz w:val="24"/>
          <w:szCs w:val="24"/>
        </w:rPr>
        <w:t>G4216线金阳至宁南段高速公路设计施工总承包</w:t>
      </w:r>
      <w:r>
        <w:rPr>
          <w:rFonts w:hint="eastAsia" w:asciiTheme="minorEastAsia" w:hAnsiTheme="minorEastAsia" w:eastAsiaTheme="minorEastAsia" w:cstheme="minorEastAsia"/>
          <w:b w:val="0"/>
          <w:bCs w:val="0"/>
          <w:sz w:val="24"/>
          <w:szCs w:val="24"/>
          <w:lang w:val="en-US" w:eastAsia="zh-CN"/>
        </w:rPr>
        <w:t>项目部</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rFonts w:hint="default" w:eastAsia="宋体"/>
          <w:lang w:val="en-US" w:eastAsia="zh-CN"/>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0"/>
        <w:gridCol w:w="1651"/>
        <w:gridCol w:w="1739"/>
        <w:gridCol w:w="1665"/>
        <w:gridCol w:w="1346"/>
        <w:gridCol w:w="1624"/>
        <w:gridCol w:w="4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655"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655"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370"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651" w:type="dxa"/>
            <w:tcBorders>
              <w:top w:val="nil"/>
              <w:left w:val="nil"/>
              <w:bottom w:val="single" w:color="auto" w:sz="4"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739" w:type="dxa"/>
            <w:tcBorders>
              <w:top w:val="single" w:color="000000" w:sz="8"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265" w:type="dxa"/>
            <w:gridSpan w:val="4"/>
            <w:tcBorders>
              <w:top w:val="single" w:color="000000" w:sz="8" w:space="0"/>
              <w:left w:val="nil"/>
              <w:bottom w:val="single" w:color="auto" w:sz="4"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0" w:type="dxa"/>
            <w:tcBorders>
              <w:top w:val="single" w:color="auto" w:sz="4" w:space="0"/>
              <w:left w:val="single" w:color="auto" w:sz="4" w:space="0"/>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1"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9"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4"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7"/>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655"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39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olor w:val="000000" w:themeColor="text1"/>
                <w:sz w:val="24"/>
                <w:lang w:val="en-US" w:eastAsia="zh-CN"/>
                <w14:textFill>
                  <w14:solidFill>
                    <w14:schemeClr w14:val="tx1"/>
                  </w14:solidFill>
                </w14:textFill>
              </w:rPr>
              <w:t>四川省凉山州西昌市骑骡沟镇</w:t>
            </w:r>
          </w:p>
        </w:tc>
        <w:tc>
          <w:tcPr>
            <w:tcW w:w="16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600"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2024年4月下旬--6月下旬期间根据情况安排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7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月租</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134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进出场费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w:t>
            </w:r>
          </w:p>
        </w:tc>
        <w:tc>
          <w:tcPr>
            <w:tcW w:w="162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转场费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w:t>
            </w:r>
          </w:p>
        </w:tc>
        <w:tc>
          <w:tcPr>
            <w:tcW w:w="46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300吨履带吊</w:t>
            </w:r>
          </w:p>
        </w:tc>
        <w:tc>
          <w:tcPr>
            <w:tcW w:w="17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预计使用2个月。配重及主臂参数详见附表。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7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220汽车吊</w:t>
            </w:r>
          </w:p>
        </w:tc>
        <w:tc>
          <w:tcPr>
            <w:tcW w:w="17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备注：以上报价为含税价格（需开增值税专用发票，报价需明确税率）含吊车燃油费、司机保险，食宿自理，不计路途，进出场费单算。递交《报价单》时间为2024年3月</w:t>
            </w:r>
            <w:r>
              <w:rPr>
                <w:rFonts w:hint="eastAsia"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日之前。</w:t>
            </w:r>
          </w:p>
          <w:p>
            <w:pPr>
              <w:pStyle w:val="2"/>
              <w:rPr>
                <w:rFonts w:hint="default" w:eastAsia="宋体"/>
                <w:sz w:val="22"/>
                <w:szCs w:val="22"/>
                <w:lang w:val="en-US" w:eastAsia="zh-CN"/>
              </w:rPr>
            </w:pPr>
            <w:r>
              <w:rPr>
                <w:rFonts w:hint="eastAsia" w:cs="宋体"/>
                <w:i w:val="0"/>
                <w:iCs w:val="0"/>
                <w:color w:val="000000"/>
                <w:kern w:val="0"/>
                <w:sz w:val="22"/>
                <w:szCs w:val="22"/>
                <w:u w:val="none"/>
                <w:lang w:val="en-US" w:eastAsia="zh-CN" w:bidi="ar"/>
              </w:rPr>
              <w:t>注：</w:t>
            </w:r>
            <w:r>
              <w:rPr>
                <w:rFonts w:hint="eastAsia"/>
                <w:sz w:val="22"/>
                <w:szCs w:val="22"/>
                <w:lang w:val="en-US" w:eastAsia="zh-CN"/>
              </w:rPr>
              <w:t>投标人必须确保吊车符合要求，履带吊的安拆单位必须具有符合国家相关要求的资质。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9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6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9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6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lang w:val="en-US" w:eastAsia="zh-CN" w:bidi="ar-SA"/>
        </w:rPr>
      </w:pPr>
      <w:r>
        <w:rPr>
          <w:rFonts w:hint="eastAsia"/>
          <w:lang w:val="en-US" w:eastAsia="zh-CN" w:bidi="ar-SA"/>
        </w:rPr>
        <w:br w:type="page"/>
      </w:r>
    </w:p>
    <w:p>
      <w:pPr>
        <w:pStyle w:val="2"/>
        <w:rPr>
          <w:rFonts w:hint="eastAsia"/>
          <w:lang w:val="en-US" w:eastAsia="zh-CN" w:bidi="ar-SA"/>
        </w:rPr>
      </w:pPr>
    </w:p>
    <w:p>
      <w:pPr>
        <w:pStyle w:val="2"/>
        <w:rPr>
          <w:rFonts w:hint="eastAsia"/>
          <w:lang w:val="en-US" w:eastAsia="zh-CN" w:bidi="ar-SA"/>
        </w:rPr>
      </w:pPr>
      <w:r>
        <w:rPr>
          <w:rFonts w:hint="eastAsia"/>
          <w:lang w:val="en-US" w:eastAsia="zh-CN" w:bidi="ar-SA"/>
        </w:rPr>
        <w:t>附表：</w:t>
      </w:r>
    </w:p>
    <w:tbl>
      <w:tblPr>
        <w:tblStyle w:val="14"/>
        <w:tblW w:w="47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3"/>
        <w:gridCol w:w="1325"/>
        <w:gridCol w:w="1164"/>
        <w:gridCol w:w="1190"/>
        <w:gridCol w:w="1553"/>
        <w:gridCol w:w="1781"/>
        <w:gridCol w:w="1190"/>
        <w:gridCol w:w="1190"/>
        <w:gridCol w:w="1190"/>
        <w:gridCol w:w="1457"/>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w:t>
            </w:r>
            <w:bookmarkStart w:id="0" w:name="_GoBack"/>
            <w:bookmarkEnd w:id="0"/>
            <w:r>
              <w:rPr>
                <w:rFonts w:hint="eastAsia" w:ascii="宋体" w:hAnsi="宋体" w:eastAsia="宋体" w:cs="宋体"/>
                <w:b/>
                <w:bCs/>
                <w:i w:val="0"/>
                <w:iCs w:val="0"/>
                <w:color w:val="000000"/>
                <w:kern w:val="0"/>
                <w:sz w:val="22"/>
                <w:szCs w:val="22"/>
                <w:u w:val="none"/>
                <w:lang w:val="en-US" w:eastAsia="zh-CN" w:bidi="ar"/>
              </w:rPr>
              <w:t>重量（t）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配重（转台平衡重+车身平衡重）（t）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ind w:firstLine="480" w:firstLineChars="20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sz w:val="24"/>
                <w:szCs w:val="24"/>
              </w:rPr>
              <w:t>L</w:t>
            </w:r>
            <w:r>
              <w:rPr>
                <w:rFonts w:ascii="宋体" w:hAnsi="宋体"/>
                <w:sz w:val="24"/>
                <w:szCs w:val="24"/>
              </w:rPr>
              <w:t>5A+L6A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48.55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ind w:firstLine="480" w:firstLineChars="2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sz w:val="24"/>
                <w:szCs w:val="24"/>
              </w:rPr>
              <w:t>L</w:t>
            </w:r>
            <w:r>
              <w:rPr>
                <w:rFonts w:ascii="宋体" w:hAnsi="宋体"/>
                <w:sz w:val="24"/>
                <w:szCs w:val="24"/>
              </w:rPr>
              <w:t>5C+L6C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47.66</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ind w:firstLine="480" w:firstLineChars="2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sz w:val="24"/>
                <w:szCs w:val="24"/>
              </w:rPr>
              <w:t>L</w:t>
            </w:r>
            <w:r>
              <w:rPr>
                <w:rFonts w:ascii="宋体" w:hAnsi="宋体"/>
                <w:sz w:val="24"/>
                <w:szCs w:val="24"/>
              </w:rPr>
              <w:t>3A+L4A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38.85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ind w:firstLine="480" w:firstLineChars="2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sz w:val="24"/>
                <w:szCs w:val="24"/>
              </w:rPr>
              <w:t>L</w:t>
            </w:r>
            <w:r>
              <w:rPr>
                <w:rFonts w:ascii="宋体" w:hAnsi="宋体"/>
                <w:sz w:val="24"/>
                <w:szCs w:val="24"/>
              </w:rPr>
              <w:t>3C+L4C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37.82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sz w:val="24"/>
                <w:szCs w:val="24"/>
              </w:rPr>
              <w:t>L</w:t>
            </w:r>
            <w:r>
              <w:rPr>
                <w:rFonts w:ascii="宋体" w:hAnsi="宋体"/>
                <w:sz w:val="24"/>
                <w:szCs w:val="24"/>
              </w:rPr>
              <w:t>1A+L2A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31.87</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39.5</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sz w:val="24"/>
                <w:szCs w:val="24"/>
              </w:rPr>
              <w:t>L</w:t>
            </w:r>
            <w:r>
              <w:rPr>
                <w:rFonts w:ascii="宋体" w:hAnsi="宋体"/>
                <w:sz w:val="24"/>
                <w:szCs w:val="24"/>
              </w:rPr>
              <w:t>1C+L2C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29.75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7C+L8C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47.21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56.3</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7A+L8A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49.88</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59.3</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5C+L6C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38.18</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46.4</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5A+L6A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40.75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49.2</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3C+L4C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38.26</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46.5</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72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3A+L4A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40.45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48.9</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72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1C+L2C</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28.49</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35.7</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72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sz w:val="24"/>
                <w:szCs w:val="24"/>
              </w:rPr>
              <w:t>L</w:t>
            </w:r>
            <w:r>
              <w:rPr>
                <w:rFonts w:ascii="宋体" w:hAnsi="宋体"/>
                <w:sz w:val="24"/>
                <w:szCs w:val="24"/>
              </w:rPr>
              <w:t>1A+L2A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31.25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130+50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72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lang w:val="en-US" w:eastAsia="zh-CN"/>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r>
        <w:drawing>
          <wp:inline distT="0" distB="0" distL="114300" distR="114300">
            <wp:extent cx="9248775" cy="48291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9248775" cy="4829175"/>
                    </a:xfrm>
                    <a:prstGeom prst="rect">
                      <a:avLst/>
                    </a:prstGeom>
                    <a:noFill/>
                    <a:ln>
                      <a:noFill/>
                    </a:ln>
                  </pic:spPr>
                </pic:pic>
              </a:graphicData>
            </a:graphic>
          </wp:inline>
        </w:drawing>
      </w: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A0A40EA"/>
    <w:rsid w:val="0BF04F64"/>
    <w:rsid w:val="0D074A6C"/>
    <w:rsid w:val="0F781DAE"/>
    <w:rsid w:val="11215013"/>
    <w:rsid w:val="11997DC1"/>
    <w:rsid w:val="125C471A"/>
    <w:rsid w:val="199D3F96"/>
    <w:rsid w:val="1A39185D"/>
    <w:rsid w:val="1F07713E"/>
    <w:rsid w:val="1F7F1DD4"/>
    <w:rsid w:val="211871FA"/>
    <w:rsid w:val="23BA2F97"/>
    <w:rsid w:val="267D60C8"/>
    <w:rsid w:val="27C40E16"/>
    <w:rsid w:val="28167080"/>
    <w:rsid w:val="2A08297F"/>
    <w:rsid w:val="2DE62848"/>
    <w:rsid w:val="2EA756E3"/>
    <w:rsid w:val="305F6F63"/>
    <w:rsid w:val="307D48E1"/>
    <w:rsid w:val="32C23872"/>
    <w:rsid w:val="34A018E6"/>
    <w:rsid w:val="34C630EF"/>
    <w:rsid w:val="3C0D345A"/>
    <w:rsid w:val="3D3709FF"/>
    <w:rsid w:val="3DFB4929"/>
    <w:rsid w:val="405A40DF"/>
    <w:rsid w:val="433A3292"/>
    <w:rsid w:val="43B167AA"/>
    <w:rsid w:val="45AB028E"/>
    <w:rsid w:val="45B8114E"/>
    <w:rsid w:val="46F078F8"/>
    <w:rsid w:val="46FD7572"/>
    <w:rsid w:val="470F731E"/>
    <w:rsid w:val="47C1174A"/>
    <w:rsid w:val="483D156B"/>
    <w:rsid w:val="48F5691C"/>
    <w:rsid w:val="49904129"/>
    <w:rsid w:val="49BA5748"/>
    <w:rsid w:val="4AA97B9F"/>
    <w:rsid w:val="4B0B3E6A"/>
    <w:rsid w:val="4B8F1CEE"/>
    <w:rsid w:val="4D1F19DC"/>
    <w:rsid w:val="4D423386"/>
    <w:rsid w:val="4F960564"/>
    <w:rsid w:val="558D774E"/>
    <w:rsid w:val="56AC5215"/>
    <w:rsid w:val="57266AE8"/>
    <w:rsid w:val="588E0972"/>
    <w:rsid w:val="59F749CD"/>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4796AB8"/>
    <w:rsid w:val="74A42AE4"/>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9</TotalTime>
  <ScaleCrop>false</ScaleCrop>
  <LinksUpToDate>false</LinksUpToDate>
  <CharactersWithSpaces>1859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2024-03-02T00:29:38Z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600B1CD766DC4D91A6760D708ACEF27E_13</vt:lpwstr>
  </property>
</Properties>
</file>