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rPr>
      </w:pPr>
      <w:r>
        <w:rPr>
          <w:rFonts w:hint="eastAsia" w:ascii="黑体" w:hAnsi="黑体" w:eastAsia="黑体"/>
          <w:b/>
          <w:sz w:val="52"/>
          <w:szCs w:val="52"/>
          <w:lang w:val="en-US" w:eastAsia="zh-CN"/>
        </w:rPr>
        <w:t>荣县快速通道二标钢混组合梁项目</w:t>
      </w:r>
      <w:r>
        <w:rPr>
          <w:rFonts w:hint="eastAsia" w:ascii="黑体" w:hAnsi="黑体" w:eastAsia="黑体"/>
          <w:b/>
          <w:sz w:val="52"/>
          <w:szCs w:val="52"/>
        </w:rPr>
        <w:t>运输招标</w:t>
      </w:r>
    </w:p>
    <w:p/>
    <w:p>
      <w:pPr>
        <w:pStyle w:val="9"/>
      </w:pPr>
    </w:p>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
      <w:pPr>
        <w:pStyle w:val="9"/>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color w:val="auto"/>
          <w:sz w:val="32"/>
          <w:szCs w:val="32"/>
          <w:lang w:val="en-US" w:eastAsia="zh-CN"/>
        </w:rPr>
      </w:pPr>
      <w:r>
        <w:rPr>
          <w:rFonts w:hint="eastAsia" w:ascii="黑体" w:hAnsi="黑体" w:eastAsia="黑体"/>
          <w:sz w:val="32"/>
          <w:szCs w:val="32"/>
        </w:rPr>
        <w:t xml:space="preserve">招（议）标编号： </w:t>
      </w:r>
      <w:r>
        <w:rPr>
          <w:rFonts w:hint="eastAsia" w:ascii="黑体" w:hAnsi="黑体" w:eastAsia="黑体"/>
          <w:color w:val="auto"/>
          <w:sz w:val="32"/>
          <w:szCs w:val="32"/>
        </w:rPr>
        <w:t>CG-XTY-202</w:t>
      </w:r>
      <w:r>
        <w:rPr>
          <w:rFonts w:hint="eastAsia" w:ascii="黑体" w:hAnsi="黑体" w:eastAsia="黑体"/>
          <w:color w:val="auto"/>
          <w:sz w:val="32"/>
          <w:szCs w:val="32"/>
          <w:lang w:val="en-US" w:eastAsia="zh-CN"/>
        </w:rPr>
        <w:t>40222-2</w:t>
      </w:r>
    </w:p>
    <w:p/>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
    <w:p/>
    <w:p>
      <w:pPr>
        <w:pStyle w:val="8"/>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color w:val="auto"/>
        </w:rPr>
      </w:pPr>
      <w:r>
        <w:rPr>
          <w:rFonts w:hint="eastAsia" w:ascii="黑体" w:hAnsi="黑体" w:eastAsia="黑体"/>
          <w:color w:val="auto"/>
          <w:sz w:val="32"/>
          <w:szCs w:val="32"/>
        </w:rPr>
        <w:t>202</w:t>
      </w:r>
      <w:r>
        <w:rPr>
          <w:rFonts w:hint="eastAsia" w:ascii="黑体" w:hAnsi="黑体" w:eastAsia="黑体"/>
          <w:color w:val="auto"/>
          <w:sz w:val="32"/>
          <w:szCs w:val="32"/>
          <w:lang w:val="en-US" w:eastAsia="zh-CN"/>
        </w:rPr>
        <w:t>4</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2</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22</w:t>
      </w:r>
      <w:r>
        <w:rPr>
          <w:rFonts w:hint="eastAsia" w:ascii="黑体" w:hAnsi="黑体" w:eastAsia="黑体"/>
          <w:color w:val="auto"/>
          <w:sz w:val="32"/>
          <w:szCs w:val="32"/>
        </w:rPr>
        <w:t>日</w:t>
      </w:r>
    </w:p>
    <w:p/>
    <w:p>
      <w:pPr>
        <w:pStyle w:val="9"/>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荣县快速通道二标钢混组合梁</w:t>
      </w:r>
      <w:r>
        <w:rPr>
          <w:rFonts w:hint="eastAsia"/>
          <w:color w:val="000000" w:themeColor="text1"/>
          <w:sz w:val="24"/>
          <w14:textFill>
            <w14:solidFill>
              <w14:schemeClr w14:val="tx1"/>
            </w14:solidFill>
          </w14:textFill>
        </w:rPr>
        <w:t>运输招标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w:t>
      </w:r>
      <w:r>
        <w:rPr>
          <w:rFonts w:hint="eastAsia"/>
          <w:color w:val="000000" w:themeColor="text1"/>
          <w:sz w:val="24"/>
          <w:lang w:val="en-US" w:eastAsia="zh-CN"/>
          <w14:textFill>
            <w14:solidFill>
              <w14:schemeClr w14:val="tx1"/>
            </w14:solidFill>
          </w14:textFill>
        </w:rPr>
        <w:t>钢混组合梁</w:t>
      </w:r>
      <w:r>
        <w:rPr>
          <w:rFonts w:hint="eastAsia"/>
          <w:color w:val="000000" w:themeColor="text1"/>
          <w:sz w:val="24"/>
          <w14:textFill>
            <w14:solidFill>
              <w14:schemeClr w14:val="tx1"/>
            </w14:solidFill>
          </w14:textFill>
        </w:rPr>
        <w:t>运输，参数详见附件《报价清单表》。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、计划运输时间段：</w:t>
      </w:r>
      <w:r>
        <w:rPr>
          <w:rFonts w:hint="eastAsia"/>
          <w:color w:val="auto"/>
          <w:sz w:val="24"/>
        </w:rPr>
        <w:t>202</w:t>
      </w:r>
      <w:r>
        <w:rPr>
          <w:rFonts w:hint="eastAsia"/>
          <w:color w:val="auto"/>
          <w:sz w:val="24"/>
          <w:lang w:val="en-US" w:eastAsia="zh-CN"/>
        </w:rPr>
        <w:t>4</w:t>
      </w:r>
      <w:r>
        <w:rPr>
          <w:rFonts w:hint="eastAsia"/>
          <w:color w:val="auto"/>
          <w:sz w:val="24"/>
        </w:rPr>
        <w:t>年</w:t>
      </w:r>
      <w:r>
        <w:rPr>
          <w:rFonts w:hint="eastAsia"/>
          <w:color w:val="auto"/>
          <w:sz w:val="24"/>
          <w:lang w:val="en-US" w:eastAsia="zh-CN"/>
        </w:rPr>
        <w:t>3</w:t>
      </w:r>
      <w:r>
        <w:rPr>
          <w:rFonts w:hint="eastAsia"/>
          <w:color w:val="auto"/>
          <w:sz w:val="24"/>
        </w:rPr>
        <w:t>月</w:t>
      </w:r>
      <w:r>
        <w:rPr>
          <w:rFonts w:hint="eastAsia"/>
          <w:color w:val="auto"/>
          <w:sz w:val="24"/>
          <w:lang w:val="en-US" w:eastAsia="zh-CN"/>
        </w:rPr>
        <w:t>中旬至4月</w:t>
      </w:r>
      <w:r>
        <w:rPr>
          <w:rFonts w:hint="eastAsia"/>
          <w:color w:val="000000" w:themeColor="text1"/>
          <w:sz w:val="24"/>
          <w14:textFill>
            <w14:solidFill>
              <w14:schemeClr w14:val="tx1"/>
            </w14:solidFill>
          </w14:textFill>
        </w:rPr>
        <w:t>（具体发运顺序根据现场吊装顺序进行安排）。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9"/>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lang w:val="en-US" w:eastAsia="zh-CN"/>
        </w:rPr>
        <w:t>整个工程</w:t>
      </w:r>
      <w:r>
        <w:rPr>
          <w:rFonts w:hint="eastAsia"/>
          <w:sz w:val="24"/>
        </w:rPr>
        <w:t>完成，双方办理</w:t>
      </w:r>
      <w:r>
        <w:rPr>
          <w:rFonts w:hint="eastAsia"/>
          <w:sz w:val="24"/>
          <w:lang w:eastAsia="zh-CN"/>
        </w:rPr>
        <w:t>最终</w:t>
      </w:r>
      <w:r>
        <w:rPr>
          <w:rFonts w:hint="eastAsia"/>
          <w:sz w:val="24"/>
        </w:rPr>
        <w:t>结算后支付至结算总额的100%。</w:t>
      </w:r>
    </w:p>
    <w:p>
      <w:pPr>
        <w:pStyle w:val="10"/>
        <w:spacing w:line="360" w:lineRule="auto"/>
        <w:ind w:left="0" w:leftChars="0" w:firstLine="480" w:firstLineChars="200"/>
      </w:pPr>
      <w:r>
        <w:rPr>
          <w:rFonts w:hint="eastAsia"/>
          <w:sz w:val="24"/>
        </w:rPr>
        <w:t>（2）甲方在支付进度款前，乙方须开具相应金额的增值税专用发票。</w:t>
      </w:r>
    </w:p>
    <w:p>
      <w:pPr>
        <w:pStyle w:val="9"/>
        <w:spacing w:line="360" w:lineRule="auto"/>
        <w:ind w:firstLine="480" w:firstLineChars="200"/>
        <w:rPr>
          <w:sz w:val="24"/>
          <w:lang w:val="en-US"/>
        </w:rPr>
      </w:pPr>
      <w:r>
        <w:rPr>
          <w:rFonts w:hint="eastAsia"/>
          <w:sz w:val="24"/>
          <w:lang w:val="en-US"/>
        </w:rPr>
        <w:t>说明：首次合作供应商签订合同后须缴纳履约保证金</w:t>
      </w:r>
      <w:r>
        <w:rPr>
          <w:rFonts w:hint="eastAsia"/>
          <w:sz w:val="24"/>
          <w:lang w:val="en-US" w:eastAsia="zh-CN"/>
        </w:rPr>
        <w:t>伍</w:t>
      </w:r>
      <w:r>
        <w:rPr>
          <w:rFonts w:hint="eastAsia"/>
          <w:sz w:val="24"/>
          <w:lang w:val="en-US"/>
        </w:rPr>
        <w:t>万元整（¥</w:t>
      </w:r>
      <w:r>
        <w:rPr>
          <w:rFonts w:hint="eastAsia"/>
          <w:sz w:val="24"/>
          <w:lang w:val="en-US" w:eastAsia="zh-CN"/>
        </w:rPr>
        <w:t>5</w:t>
      </w:r>
      <w:r>
        <w:rPr>
          <w:sz w:val="24"/>
          <w:lang w:val="en-US"/>
        </w:rPr>
        <w:t>0000</w:t>
      </w:r>
      <w:r>
        <w:rPr>
          <w:rFonts w:hint="eastAsia"/>
          <w:sz w:val="24"/>
          <w:lang w:val="en-US"/>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具有独立法人资格，持有效的营业执照、道路运输经营许可证，</w:t>
      </w:r>
      <w:r>
        <w:rPr>
          <w:rFonts w:hint="eastAsia"/>
          <w:sz w:val="24"/>
        </w:rPr>
        <w:t>注册资本不得小于</w:t>
      </w:r>
      <w:r>
        <w:rPr>
          <w:sz w:val="24"/>
        </w:rPr>
        <w:t>1</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w:t>
      </w:r>
      <w:r>
        <w:rPr>
          <w:rFonts w:hint="eastAsia"/>
          <w:color w:val="auto"/>
          <w:sz w:val="24"/>
        </w:rPr>
        <w:t>20</w:t>
      </w:r>
      <w:r>
        <w:rPr>
          <w:rFonts w:hint="eastAsia"/>
          <w:color w:val="auto"/>
          <w:sz w:val="24"/>
          <w:lang w:val="en-US" w:eastAsia="zh-CN"/>
        </w:rPr>
        <w:t>24</w:t>
      </w:r>
      <w:r>
        <w:rPr>
          <w:rFonts w:hint="eastAsia"/>
          <w:color w:val="auto"/>
          <w:sz w:val="24"/>
        </w:rPr>
        <w:t>年</w:t>
      </w:r>
      <w:r>
        <w:rPr>
          <w:rFonts w:hint="eastAsia"/>
          <w:color w:val="auto"/>
          <w:sz w:val="24"/>
          <w:lang w:val="en-US" w:eastAsia="zh-CN"/>
        </w:rPr>
        <w:t>2</w:t>
      </w:r>
      <w:r>
        <w:rPr>
          <w:rFonts w:hint="eastAsia"/>
          <w:color w:val="auto"/>
          <w:sz w:val="24"/>
        </w:rPr>
        <w:t>月</w:t>
      </w:r>
      <w:r>
        <w:rPr>
          <w:rFonts w:hint="eastAsia"/>
          <w:color w:val="auto"/>
          <w:sz w:val="24"/>
          <w:lang w:val="en-US" w:eastAsia="zh-CN"/>
        </w:rPr>
        <w:t>26</w:t>
      </w:r>
      <w:r>
        <w:rPr>
          <w:rFonts w:hint="eastAsia"/>
          <w:color w:val="auto"/>
          <w:sz w:val="24"/>
        </w:rPr>
        <w:t>日上午</w:t>
      </w:r>
      <w:r>
        <w:rPr>
          <w:color w:val="auto"/>
          <w:sz w:val="24"/>
        </w:rPr>
        <w:t>9</w:t>
      </w:r>
      <w:r>
        <w:rPr>
          <w:rFonts w:hint="eastAsia"/>
          <w:color w:val="auto"/>
          <w:sz w:val="24"/>
        </w:rPr>
        <w:t>:00</w:t>
      </w:r>
      <w:r>
        <w:rPr>
          <w:rFonts w:hint="eastAsia"/>
          <w:color w:val="000000" w:themeColor="text1"/>
          <w:sz w:val="24"/>
          <w14:textFill>
            <w14:solidFill>
              <w14:schemeClr w14:val="tx1"/>
            </w14:solidFill>
          </w14:textFill>
        </w:rPr>
        <w:t>，兴天元钢桥20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9"/>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9"/>
        <w:tabs>
          <w:tab w:val="left" w:pos="297"/>
        </w:tabs>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rFonts w:hint="default"/>
          <w:color w:val="000000" w:themeColor="text1"/>
          <w:sz w:val="24"/>
          <w:lang w:val="en-US"/>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邓小刚  17790116332</w:t>
      </w:r>
    </w:p>
    <w:p>
      <w:pPr>
        <w:numPr>
          <w:ilvl w:val="0"/>
          <w:numId w:val="0"/>
        </w:numPr>
        <w:spacing w:line="360" w:lineRule="auto"/>
        <w:ind w:firstLine="480" w:firstLineChars="200"/>
        <w:rPr>
          <w:rFonts w:hint="default" w:ascii="宋体" w:hAnsi="宋体" w:eastAsia="宋体" w:cs="宋体"/>
          <w:color w:val="auto"/>
          <w:kern w:val="2"/>
          <w:sz w:val="24"/>
          <w:szCs w:val="24"/>
          <w:lang w:val="en-US" w:eastAsia="zh-CN" w:bidi="zh-CN"/>
        </w:rPr>
      </w:pPr>
      <w:r>
        <w:rPr>
          <w:rFonts w:hint="eastAsia"/>
          <w:color w:val="000000" w:themeColor="text1"/>
          <w:sz w:val="24"/>
          <w:lang w:val="en-US" w:eastAsia="zh-CN"/>
          <w14:textFill>
            <w14:solidFill>
              <w14:schemeClr w14:val="tx1"/>
            </w14:solidFill>
          </w14:textFill>
        </w:rPr>
        <w:t>运输目的</w:t>
      </w:r>
      <w:r>
        <w:rPr>
          <w:rFonts w:hint="eastAsia" w:ascii="宋体" w:hAnsi="宋体" w:eastAsia="宋体" w:cs="宋体"/>
          <w:color w:val="000000" w:themeColor="text1"/>
          <w:kern w:val="2"/>
          <w:sz w:val="24"/>
          <w:szCs w:val="24"/>
          <w:lang w:val="en-US" w:eastAsia="zh-CN" w:bidi="zh-CN"/>
          <w14:textFill>
            <w14:solidFill>
              <w14:schemeClr w14:val="tx1"/>
            </w14:solidFill>
          </w14:textFill>
        </w:rPr>
        <w:t>地：</w:t>
      </w:r>
      <w:r>
        <w:rPr>
          <w:rFonts w:hint="eastAsia" w:ascii="宋体" w:hAnsi="宋体" w:eastAsia="宋体" w:cs="宋体"/>
          <w:color w:val="auto"/>
          <w:kern w:val="2"/>
          <w:sz w:val="24"/>
          <w:szCs w:val="24"/>
          <w:lang w:val="en-US" w:eastAsia="zh-CN" w:bidi="zh-CN"/>
        </w:rPr>
        <w:t>荣县旭阳镇荣县快速通道路二标钢梁桥位处路基上</w:t>
      </w:r>
    </w:p>
    <w:p>
      <w:pPr>
        <w:numPr>
          <w:ilvl w:val="0"/>
          <w:numId w:val="0"/>
        </w:numPr>
        <w:spacing w:line="360" w:lineRule="auto"/>
        <w:ind w:firstLine="480" w:firstLineChars="200"/>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注：详细运输位置可与邓小刚联系。</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w:t>
      </w:r>
      <w:r>
        <w:rPr>
          <w:rFonts w:hint="eastAsia"/>
          <w:sz w:val="24"/>
        </w:rPr>
        <w:t>00万元，有</w:t>
      </w:r>
      <w:r>
        <w:rPr>
          <w:rFonts w:hint="eastAsia" w:ascii="宋体" w:hAnsi="宋体" w:cs="宋体"/>
          <w:sz w:val="24"/>
        </w:rPr>
        <w:t>道路运输经营许可证</w:t>
      </w:r>
      <w:r>
        <w:rPr>
          <w:rFonts w:hint="eastAsia"/>
          <w:sz w:val="24"/>
        </w:rPr>
        <w:t>；</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p>
    <w:p>
      <w:pPr>
        <w:spacing w:line="360" w:lineRule="auto"/>
        <w:rPr>
          <w:sz w:val="24"/>
        </w:rPr>
      </w:pPr>
      <w:r>
        <w:rPr>
          <w:rFonts w:hint="eastAsia"/>
          <w:sz w:val="24"/>
        </w:rPr>
        <w:t>2.2投标保证金的形式：银行转账，投标保证金必须通过投标人的基本帐户以银行转帐的方式缴纳</w:t>
      </w:r>
      <w:r>
        <w:rPr>
          <w:rFonts w:hint="eastAsia"/>
          <w:sz w:val="24"/>
          <w:lang w:eastAsia="zh-CN"/>
        </w:rPr>
        <w:t>（</w:t>
      </w:r>
      <w:r>
        <w:rPr>
          <w:rFonts w:hint="eastAsia"/>
          <w:sz w:val="24"/>
          <w:lang w:val="en-US" w:eastAsia="zh-CN"/>
        </w:rPr>
        <w:t>仅首次合作需缴纳</w:t>
      </w:r>
      <w:r>
        <w:rPr>
          <w:rFonts w:hint="eastAsia"/>
          <w:sz w:val="24"/>
          <w:lang w:eastAsia="zh-CN"/>
        </w:rPr>
        <w:t>）</w:t>
      </w:r>
      <w:r>
        <w:rPr>
          <w:rFonts w:hint="eastAsia"/>
          <w:sz w:val="24"/>
        </w:rPr>
        <w:t>。</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numPr>
          <w:ilvl w:val="0"/>
          <w:numId w:val="2"/>
        </w:numPr>
        <w:spacing w:line="360" w:lineRule="auto"/>
        <w:outlineLvl w:val="2"/>
        <w:rPr>
          <w:rFonts w:hint="eastAsia"/>
          <w:b/>
          <w:bCs/>
          <w:sz w:val="24"/>
        </w:rPr>
      </w:pPr>
      <w:r>
        <w:rPr>
          <w:rFonts w:hint="eastAsia"/>
          <w:b/>
          <w:bCs/>
          <w:sz w:val="24"/>
        </w:rPr>
        <w:t>其它</w:t>
      </w:r>
    </w:p>
    <w:p>
      <w:pPr>
        <w:spacing w:line="360" w:lineRule="auto"/>
        <w:rPr>
          <w:sz w:val="24"/>
        </w:rPr>
      </w:pPr>
      <w:r>
        <w:rPr>
          <w:rFonts w:hint="eastAsia"/>
          <w:sz w:val="24"/>
        </w:rPr>
        <w:t>3.</w:t>
      </w:r>
      <w:r>
        <w:rPr>
          <w:rFonts w:hint="eastAsia"/>
          <w:sz w:val="24"/>
          <w:lang w:val="en-US" w:eastAsia="zh-CN"/>
        </w:rPr>
        <w:t>1</w:t>
      </w:r>
      <w:r>
        <w:rPr>
          <w:rFonts w:hint="eastAsia"/>
          <w:sz w:val="24"/>
        </w:rPr>
        <w:t>投标文件逾期送达的，招标人不予受理：</w:t>
      </w:r>
    </w:p>
    <w:p>
      <w:pPr>
        <w:spacing w:line="360" w:lineRule="auto"/>
        <w:rPr>
          <w:sz w:val="24"/>
        </w:rPr>
      </w:pPr>
      <w:r>
        <w:rPr>
          <w:rFonts w:hint="eastAsia"/>
          <w:sz w:val="24"/>
        </w:rPr>
        <w:t>3.</w:t>
      </w:r>
      <w:r>
        <w:rPr>
          <w:rFonts w:hint="eastAsia"/>
          <w:sz w:val="24"/>
          <w:lang w:val="en-US" w:eastAsia="zh-CN"/>
        </w:rPr>
        <w:t>2</w:t>
      </w:r>
      <w:r>
        <w:rPr>
          <w:rFonts w:hint="eastAsia"/>
          <w:sz w:val="24"/>
        </w:rPr>
        <w:t>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ascii="宋体" w:hAnsi="宋体" w:eastAsia="宋体" w:cs="宋体"/>
          <w:b/>
          <w:bCs/>
          <w:i w:val="0"/>
          <w:iCs w:val="0"/>
          <w:color w:val="000000"/>
          <w:kern w:val="0"/>
          <w:sz w:val="28"/>
          <w:szCs w:val="28"/>
          <w:u w:val="none"/>
          <w:lang w:val="en-US" w:eastAsia="zh-CN" w:bidi="ar"/>
        </w:rPr>
        <w:t>荣县快速通道二标钢混组合梁项目</w:t>
      </w:r>
      <w:r>
        <w:rPr>
          <w:rFonts w:hint="eastAsia"/>
          <w:b/>
          <w:bCs/>
          <w:sz w:val="28"/>
          <w:szCs w:val="28"/>
        </w:rPr>
        <w:t>报价清单</w:t>
      </w:r>
    </w:p>
    <w:tbl>
      <w:tblPr>
        <w:tblStyle w:val="15"/>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荣县快速通道二标钢混组合梁运输询价单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二、项目名称：荣县快速通道二标段钢混组合梁项目 </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三、构件清单明细表（见附件）（约983.5吨）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9"/>
                <w:lang w:val="en-US" w:eastAsia="zh-CN" w:bidi="ar"/>
              </w:rPr>
              <w:t xml:space="preserve"> </w:t>
            </w:r>
            <w:r>
              <w:rPr>
                <w:rStyle w:val="29"/>
                <w:rFonts w:hint="eastAsia"/>
                <w:lang w:val="en-US" w:eastAsia="zh-CN" w:bidi="ar"/>
              </w:rPr>
              <w:t xml:space="preserve">         </w:t>
            </w:r>
            <w:r>
              <w:rPr>
                <w:rStyle w:val="29"/>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13米拖挂货车：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38"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17.5米拖挂货车：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90"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终点：荣县旭阳镇项目工地（</w:t>
            </w:r>
            <w:r>
              <w:rPr>
                <w:rFonts w:hint="eastAsia" w:ascii="宋体" w:hAnsi="宋体" w:eastAsia="宋体" w:cs="宋体"/>
                <w:color w:val="auto"/>
                <w:kern w:val="2"/>
                <w:sz w:val="24"/>
                <w:szCs w:val="24"/>
                <w:lang w:val="en-US" w:eastAsia="zh-CN" w:bidi="zh-CN"/>
              </w:rPr>
              <w:t>荣县旭阳镇荣县快速通道路二标钢梁桥位处路基上</w:t>
            </w:r>
            <w:r>
              <w:rPr>
                <w:rFonts w:hint="eastAsia" w:ascii="宋体" w:hAnsi="宋体" w:eastAsia="宋体" w:cs="宋体"/>
                <w:b/>
                <w:bCs/>
                <w:i w:val="0"/>
                <w:iCs w:val="0"/>
                <w:color w:val="000000"/>
                <w:kern w:val="0"/>
                <w:sz w:val="22"/>
                <w:szCs w:val="22"/>
                <w:u w:val="single"/>
                <w:lang w:val="en-US" w:eastAsia="zh-CN" w:bidi="ar"/>
              </w:rPr>
              <w:t>）</w:t>
            </w:r>
            <w:r>
              <w:rPr>
                <w:rStyle w:val="30"/>
                <w:rFonts w:ascii="宋体" w:hAnsi="宋体" w:eastAsia="宋体" w:cs="宋体"/>
                <w:sz w:val="24"/>
                <w:szCs w:val="24"/>
                <w:lang w:val="en-US" w:eastAsia="zh-CN" w:bidi="ar"/>
              </w:rPr>
              <w:t>，全程</w:t>
            </w:r>
            <w:r>
              <w:rPr>
                <w:rFonts w:hint="eastAsia" w:ascii="宋体" w:hAnsi="宋体" w:eastAsia="宋体" w:cs="宋体"/>
                <w:b/>
                <w:bCs/>
                <w:i w:val="0"/>
                <w:iCs w:val="0"/>
                <w:color w:val="000000"/>
                <w:kern w:val="0"/>
                <w:sz w:val="22"/>
                <w:szCs w:val="22"/>
                <w:u w:val="single"/>
                <w:lang w:val="en-US" w:eastAsia="zh-CN" w:bidi="ar"/>
              </w:rPr>
              <w:t>约240KM</w:t>
            </w:r>
            <w:r>
              <w:rPr>
                <w:rFonts w:hint="eastAsia" w:ascii="宋体" w:hAnsi="宋体" w:eastAsia="宋体" w:cs="宋体"/>
                <w:i w:val="0"/>
                <w:iCs w:val="0"/>
                <w:color w:val="000000"/>
                <w:kern w:val="0"/>
                <w:sz w:val="22"/>
                <w:szCs w:val="22"/>
                <w:u w:val="none"/>
                <w:lang w:val="en-US" w:eastAsia="zh-CN"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lang w:val="en-US"/>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w:t>
            </w:r>
            <w:r>
              <w:rPr>
                <w:rFonts w:hint="eastAsia" w:ascii="宋体" w:hAnsi="宋体" w:eastAsia="宋体" w:cs="宋体"/>
                <w:b/>
                <w:bCs/>
                <w:i w:val="0"/>
                <w:iCs w:val="0"/>
                <w:color w:val="auto"/>
                <w:kern w:val="0"/>
                <w:sz w:val="22"/>
                <w:szCs w:val="22"/>
                <w:u w:val="none"/>
                <w:lang w:val="en-US" w:eastAsia="zh-CN" w:bidi="ar"/>
              </w:rPr>
              <w:t>根据方案要求所有构件可连续发货，无需等待。</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2024年3月中旬至4月（具体发运顺序根据现场吊装顺序进行安排）；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6）报价表递交时间：</w:t>
            </w:r>
            <w:r>
              <w:rPr>
                <w:rFonts w:hint="eastAsia" w:ascii="宋体" w:hAnsi="宋体" w:eastAsia="宋体" w:cs="宋体"/>
                <w:i w:val="0"/>
                <w:iCs w:val="0"/>
                <w:color w:val="auto"/>
                <w:kern w:val="0"/>
                <w:sz w:val="22"/>
                <w:szCs w:val="22"/>
                <w:u w:val="none"/>
                <w:lang w:val="en-US" w:eastAsia="zh-CN" w:bidi="ar"/>
              </w:rPr>
              <w:t>2024年2月27日前</w:t>
            </w:r>
            <w:r>
              <w:rPr>
                <w:rFonts w:hint="eastAsia" w:ascii="宋体" w:hAnsi="宋体" w:eastAsia="宋体" w:cs="宋体"/>
                <w:i w:val="0"/>
                <w:iCs w:val="0"/>
                <w:color w:val="000000"/>
                <w:kern w:val="0"/>
                <w:sz w:val="22"/>
                <w:szCs w:val="22"/>
                <w:u w:val="none"/>
                <w:lang w:val="en-US" w:eastAsia="zh-CN" w:bidi="ar"/>
              </w:rPr>
              <w:t>；</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9"/>
        <w:rPr>
          <w:lang w:val="en-US" w:bidi="ar-SA"/>
        </w:rPr>
      </w:pPr>
    </w:p>
    <w:p>
      <w:pPr>
        <w:widowControl/>
        <w:numPr>
          <w:ilvl w:val="0"/>
          <w:numId w:val="0"/>
        </w:numPr>
        <w:jc w:val="left"/>
      </w:pPr>
      <w:r>
        <w:br w:type="page"/>
      </w:r>
    </w:p>
    <w:p>
      <w:pPr>
        <w:widowControl/>
        <w:numPr>
          <w:ilvl w:val="0"/>
          <w:numId w:val="3"/>
        </w:numPr>
        <w:jc w:val="left"/>
        <w:rPr>
          <w:rFonts w:hint="eastAsia"/>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荣县快速通道二标钢混组合梁项目</w:t>
      </w:r>
      <w:r>
        <w:rPr>
          <w:rFonts w:hint="eastAsia"/>
          <w:b/>
          <w:bCs/>
          <w:sz w:val="28"/>
          <w:szCs w:val="28"/>
          <w:lang w:val="en-US" w:eastAsia="zh-CN"/>
        </w:rPr>
        <w:t>清单配套表</w:t>
      </w:r>
    </w:p>
    <w:tbl>
      <w:tblPr>
        <w:tblStyle w:val="15"/>
        <w:tblW w:w="96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4"/>
        <w:gridCol w:w="1339"/>
        <w:gridCol w:w="1289"/>
        <w:gridCol w:w="2342"/>
        <w:gridCol w:w="722"/>
        <w:gridCol w:w="2218"/>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965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左幅明细表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节段编号</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块体编号</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规格</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(高×宽</w:t>
            </w:r>
            <w:bookmarkStart w:id="0" w:name="_GoBack"/>
            <w:bookmarkEnd w:id="0"/>
            <w:r>
              <w:rPr>
                <w:rFonts w:hint="default" w:ascii="仿宋_GB2312" w:hAnsi="宋体" w:eastAsia="仿宋_GB2312" w:cs="仿宋_GB2312"/>
                <w:i w:val="0"/>
                <w:iCs w:val="0"/>
                <w:color w:val="000000"/>
                <w:kern w:val="0"/>
                <w:sz w:val="22"/>
                <w:szCs w:val="22"/>
                <w:u w:val="none"/>
                <w:lang w:val="en-US" w:eastAsia="zh-CN" w:bidi="ar"/>
              </w:rPr>
              <w:t>×长)（mm）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重量（kg）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单件重量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总重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3000×3350×14000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31073.0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31073.0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L1B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3000×2700×14000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29819.0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29819.0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L1C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3000×3350×14000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31070.3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31070.3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3000×3350×20690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49307.6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49307.6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L2B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3000×2700×20690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47151.9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47151.9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L2C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3000×3350×20690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49304.0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49304.0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3000×3350×16250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38670.1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38670.1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L3B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3000×2700×16250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37016.8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37016.8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L3C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3000×3350×16250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38667.5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38667.5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3000×3350×14000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31074.5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31074.5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L4B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3000×2700×14000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29820.3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29820.3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L4C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3000×3350×14000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31071.8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31071.8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8mm面板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RY-MB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21541.9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底板嵌补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RY-XDJ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339.1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面板嵌补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RY-XMJ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腹板嵌补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RY-XFJ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PBL1嵌补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RY-XPBL1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198.9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PBL2嵌补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RY-XPBL2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397.7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RY-PH1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250×1968×2296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448.7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1795.0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RY-PH2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250×1964×2296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448.7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1795.0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RY-PH3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250×1960×2296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448.7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1795.0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RY-PH4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250×1958×2296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448.7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1795.0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RY-PH5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250×1956×2296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448.7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1795.0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RY-CH1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250×618×2296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197.5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790.0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RY-CH2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250×614×2296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197.5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790.0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RY-CH3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250×610×2296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197.5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1579.9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RY-CH4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250×608×2296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197.5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790.0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RY-CH5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250×606×2296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197.5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RY-ZH1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920×2460×2296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1140.5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2281.0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RY-ZH2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920×2460×2296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1140.5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2281.0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31</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普通横联腹板连接板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RY-LJ-F1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-8×400×1800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3394.8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32</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次横联腹板连接板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RY-LJ-F2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-8×400×500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1042.0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33</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支座横联腹板连接板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RY-LJ-F3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-12×400×2300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81.7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1307.2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34</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横联底板连接板1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RY-LJ-D1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-8×100×400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397.9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35</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横联底板连接板2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RY-LJ-D2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-8×240×400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482.3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36</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支座横联底板连接板1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RY-LJ-D3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-12×170×520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128.3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37</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支座横联底板连接板2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RY-LJ-D4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-12×390×520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147.7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491763.9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40</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高强螺栓M24×70-10.9S级</w:t>
            </w:r>
            <w:r>
              <w:rPr>
                <w:rFonts w:hint="default" w:ascii="仿宋_GB2312" w:hAnsi="宋体" w:eastAsia="仿宋_GB2312" w:cs="仿宋_GB2312"/>
                <w:i w:val="0"/>
                <w:iCs w:val="0"/>
                <w:color w:val="000000"/>
                <w:kern w:val="0"/>
                <w:sz w:val="16"/>
                <w:szCs w:val="16"/>
                <w:u w:val="none"/>
                <w:lang w:val="en-US" w:eastAsia="zh-CN" w:bidi="ar"/>
              </w:rPr>
              <w:br w:type="textWrapping"/>
            </w:r>
            <w:r>
              <w:rPr>
                <w:rFonts w:hint="default" w:ascii="仿宋_GB2312" w:hAnsi="宋体" w:eastAsia="仿宋_GB2312" w:cs="仿宋_GB2312"/>
                <w:i w:val="0"/>
                <w:iCs w:val="0"/>
                <w:color w:val="000000"/>
                <w:kern w:val="0"/>
                <w:sz w:val="16"/>
                <w:szCs w:val="16"/>
                <w:u w:val="none"/>
                <w:lang w:val="en-US" w:eastAsia="zh-CN" w:bidi="ar"/>
              </w:rPr>
              <w:t>（含平垫圈、螺母）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GB/T 1228-2006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用于普通横联、次横联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41</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高强螺栓M24×85-10.9S级</w:t>
            </w:r>
            <w:r>
              <w:rPr>
                <w:rFonts w:hint="default" w:ascii="仿宋_GB2312" w:hAnsi="宋体" w:eastAsia="仿宋_GB2312" w:cs="仿宋_GB2312"/>
                <w:i w:val="0"/>
                <w:iCs w:val="0"/>
                <w:color w:val="000000"/>
                <w:kern w:val="0"/>
                <w:sz w:val="16"/>
                <w:szCs w:val="16"/>
                <w:u w:val="none"/>
                <w:lang w:val="en-US" w:eastAsia="zh-CN" w:bidi="ar"/>
              </w:rPr>
              <w:br w:type="textWrapping"/>
            </w:r>
            <w:r>
              <w:rPr>
                <w:rFonts w:hint="default" w:ascii="仿宋_GB2312" w:hAnsi="宋体" w:eastAsia="仿宋_GB2312" w:cs="仿宋_GB2312"/>
                <w:i w:val="0"/>
                <w:iCs w:val="0"/>
                <w:color w:val="000000"/>
                <w:kern w:val="0"/>
                <w:sz w:val="16"/>
                <w:szCs w:val="16"/>
                <w:u w:val="none"/>
                <w:lang w:val="en-US" w:eastAsia="zh-CN" w:bidi="ar"/>
              </w:rPr>
              <w:t>（含平垫圈、螺母）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GB/T 1228-2006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用于支座横联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仿宋_GB2312" w:hAnsi="宋体" w:eastAsia="仿宋_GB2312" w:cs="仿宋_GB2312"/>
                <w:i w:val="0"/>
                <w:iCs w:val="0"/>
                <w:color w:val="000000"/>
                <w:sz w:val="18"/>
                <w:szCs w:val="18"/>
                <w:u w:val="none"/>
              </w:rPr>
            </w:pPr>
          </w:p>
        </w:tc>
      </w:tr>
    </w:tbl>
    <w:p>
      <w:pPr>
        <w:pStyle w:val="3"/>
        <w:ind w:left="0" w:leftChars="0" w:firstLine="0" w:firstLineChars="0"/>
        <w:rPr>
          <w:rFonts w:hint="eastAsia"/>
          <w:lang w:val="en-US" w:eastAsia="zh-CN"/>
        </w:rPr>
      </w:pPr>
    </w:p>
    <w:p>
      <w:pPr>
        <w:rPr>
          <w:rFonts w:hint="eastAsia"/>
          <w:lang w:val="en-US" w:eastAsia="zh-CN"/>
        </w:rPr>
      </w:pPr>
    </w:p>
    <w:tbl>
      <w:tblPr>
        <w:tblStyle w:val="15"/>
        <w:tblW w:w="96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8"/>
        <w:gridCol w:w="1495"/>
        <w:gridCol w:w="1440"/>
        <w:gridCol w:w="2616"/>
        <w:gridCol w:w="806"/>
        <w:gridCol w:w="1347"/>
        <w:gridCol w:w="1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65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右幅明细表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节段编号</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块体编号</w:t>
            </w:r>
          </w:p>
        </w:tc>
        <w:tc>
          <w:tcPr>
            <w:tcW w:w="2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规格</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(高×宽×长)（mm）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数量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重量（kg）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p>
        </w:tc>
        <w:tc>
          <w:tcPr>
            <w:tcW w:w="2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单件重量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总重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3000×3350×14000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31073.0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31073.0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L1B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3000×2700×14000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29819.0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29819.0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L1C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3000×3350×14000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31070.3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31070.3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3000×3350×20690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49307.6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49307.6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L2B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3000×2700×20690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47151.9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47151.9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L2C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3000×3350×20690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49304.0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49304.0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3000×3350×16250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38670.1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38670.1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L3B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3000×2700×16250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37016.8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37016.8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L3C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3000×3350×16250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38667.5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38667.5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3000×3350×14000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31074.5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31074.5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L4B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3000×2700×14000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29820.3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29820.3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L4C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3000×3350×14000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31071.8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31071.8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8mm面板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RY-MB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21541.9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底板嵌补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RY-XDJ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339.1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面板嵌补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RY-XMJ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腹板嵌补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RY-XFJ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PBL1嵌补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RY-XPBL1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198.9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PBL2嵌补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RY-XPBL2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397.7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RY-PH1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250×1968×2296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448.7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1795.0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RY-PH2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250×1964×2296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448.7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1795.0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RY-PH3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250×1960×2296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448.7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1795.0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RY-PH4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250×1958×2296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448.7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1795.0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RY-PH5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250×1956×2296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448.7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1795.0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RY-CH1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250×618×2296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197.5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790.0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RY-CH2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250×614×2296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197.5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790.0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RY-CH3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250×610×2296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197.5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1579.9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RY-CH4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250×608×2296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197.5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790.0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RY-CH5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250×606×2296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197.5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RY-ZH1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920×2460×2296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1140.5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2281.0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横联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RY-ZH2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920×2460×2296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1140.5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2281.0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31</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普通横联腹板连接板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RY-LJ-F1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-8×400×1800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3394.8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32</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次横联腹板连接板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RY-LJ-F2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-8×400×500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1042.0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33</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支座横联腹板连接板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RY-LJ-F3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-12×400×2300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81.7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1307.2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34</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横联底板连接板1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RY-LJ-D1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-8×100×400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397.9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35</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横联底板连接板2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RY-LJ-D2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-8×240×400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482.3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36</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支座横联底板连接板1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RY-LJ-D3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-12×170×520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128.3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37</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支座横联底板连接板2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RY-LJ-D4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-12×390×520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147.7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 xml:space="preserve">491763.9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40</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高强螺栓M24×70-10.9S级</w:t>
            </w:r>
            <w:r>
              <w:rPr>
                <w:rFonts w:hint="default" w:ascii="仿宋_GB2312" w:hAnsi="宋体" w:eastAsia="仿宋_GB2312" w:cs="仿宋_GB2312"/>
                <w:i w:val="0"/>
                <w:iCs w:val="0"/>
                <w:color w:val="000000"/>
                <w:kern w:val="0"/>
                <w:sz w:val="16"/>
                <w:szCs w:val="16"/>
                <w:u w:val="none"/>
                <w:lang w:val="en-US" w:eastAsia="zh-CN" w:bidi="ar"/>
              </w:rPr>
              <w:br w:type="textWrapping"/>
            </w:r>
            <w:r>
              <w:rPr>
                <w:rFonts w:hint="default" w:ascii="仿宋_GB2312" w:hAnsi="宋体" w:eastAsia="仿宋_GB2312" w:cs="仿宋_GB2312"/>
                <w:i w:val="0"/>
                <w:iCs w:val="0"/>
                <w:color w:val="000000"/>
                <w:kern w:val="0"/>
                <w:sz w:val="16"/>
                <w:szCs w:val="16"/>
                <w:u w:val="none"/>
                <w:lang w:val="en-US" w:eastAsia="zh-CN" w:bidi="ar"/>
              </w:rPr>
              <w:t>（含平垫圈、螺母）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GB/T 1228-2006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8864</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sz w:val="22"/>
                <w:szCs w:val="22"/>
                <w:u w:val="none"/>
              </w:rPr>
              <w:t>用于普通横联、次横联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41</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高强螺栓M24×85-10.9S级</w:t>
            </w:r>
            <w:r>
              <w:rPr>
                <w:rFonts w:hint="default" w:ascii="仿宋_GB2312" w:hAnsi="宋体" w:eastAsia="仿宋_GB2312" w:cs="仿宋_GB2312"/>
                <w:i w:val="0"/>
                <w:iCs w:val="0"/>
                <w:color w:val="000000"/>
                <w:kern w:val="0"/>
                <w:sz w:val="16"/>
                <w:szCs w:val="16"/>
                <w:u w:val="none"/>
                <w:lang w:val="en-US" w:eastAsia="zh-CN" w:bidi="ar"/>
              </w:rPr>
              <w:br w:type="textWrapping"/>
            </w:r>
            <w:r>
              <w:rPr>
                <w:rFonts w:hint="default" w:ascii="仿宋_GB2312" w:hAnsi="宋体" w:eastAsia="仿宋_GB2312" w:cs="仿宋_GB2312"/>
                <w:i w:val="0"/>
                <w:iCs w:val="0"/>
                <w:color w:val="000000"/>
                <w:kern w:val="0"/>
                <w:sz w:val="16"/>
                <w:szCs w:val="16"/>
                <w:u w:val="none"/>
                <w:lang w:val="en-US" w:eastAsia="zh-CN" w:bidi="ar"/>
              </w:rPr>
              <w:t>（含平垫圈、螺母）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GB/T 1228-2006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1664</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sz w:val="22"/>
                <w:szCs w:val="22"/>
                <w:u w:val="none"/>
              </w:rPr>
              <w:t>用于支座横联</w:t>
            </w:r>
          </w:p>
        </w:tc>
      </w:tr>
    </w:tbl>
    <w:p>
      <w:pPr>
        <w:pStyle w:val="9"/>
        <w:rPr>
          <w:rFonts w:hint="eastAsia"/>
          <w:lang w:val="en-US" w:eastAsia="zh-CN"/>
        </w:rPr>
      </w:pPr>
    </w:p>
    <w:sectPr>
      <w:headerReference r:id="rId4" w:type="default"/>
      <w:footerReference r:id="rId5" w:type="default"/>
      <w:footerReference r:id="rId6" w:type="even"/>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8"/>
      </w:rPr>
    </w:pPr>
    <w:r>
      <w:fldChar w:fldCharType="begin"/>
    </w:r>
    <w:r>
      <w:rPr>
        <w:rStyle w:val="18"/>
      </w:rPr>
      <w:instrText xml:space="preserve">PAGE  </w:instrText>
    </w:r>
    <w:r>
      <w:fldChar w:fldCharType="separate"/>
    </w:r>
    <w:r>
      <w:rPr>
        <w:rStyle w:val="18"/>
      </w:rPr>
      <w:t>3</w: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D9A57819"/>
    <w:multiLevelType w:val="singleLevel"/>
    <w:tmpl w:val="D9A57819"/>
    <w:lvl w:ilvl="0" w:tentative="0">
      <w:start w:val="3"/>
      <w:numFmt w:val="decimal"/>
      <w:suff w:val="nothing"/>
      <w:lvlText w:val="%1．"/>
      <w:lvlJc w:val="left"/>
    </w:lvl>
  </w:abstractNum>
  <w:abstractNum w:abstractNumId="2">
    <w:nsid w:val="3C5B435D"/>
    <w:multiLevelType w:val="singleLevel"/>
    <w:tmpl w:val="3C5B435D"/>
    <w:lvl w:ilvl="0" w:tentative="0">
      <w:start w:val="4"/>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ODllOTc0MTFhZjIwMDJmOWRhMjM0YWVlODIwNWQ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7805477"/>
    <w:rsid w:val="09477246"/>
    <w:rsid w:val="0BF04F64"/>
    <w:rsid w:val="0D074A6C"/>
    <w:rsid w:val="102C4895"/>
    <w:rsid w:val="14616BAC"/>
    <w:rsid w:val="19972429"/>
    <w:rsid w:val="199D3F96"/>
    <w:rsid w:val="1A39185D"/>
    <w:rsid w:val="1F07713E"/>
    <w:rsid w:val="1F7F1DD4"/>
    <w:rsid w:val="1FC76D7C"/>
    <w:rsid w:val="230E48C2"/>
    <w:rsid w:val="23BA2F97"/>
    <w:rsid w:val="28167080"/>
    <w:rsid w:val="294E0FE3"/>
    <w:rsid w:val="2A08297F"/>
    <w:rsid w:val="2DE62848"/>
    <w:rsid w:val="2E7F6E67"/>
    <w:rsid w:val="2EA756E3"/>
    <w:rsid w:val="307D48E1"/>
    <w:rsid w:val="32C23872"/>
    <w:rsid w:val="34A018E6"/>
    <w:rsid w:val="374213A4"/>
    <w:rsid w:val="3B3F32FE"/>
    <w:rsid w:val="3BD0092B"/>
    <w:rsid w:val="3C0D345A"/>
    <w:rsid w:val="3C0F44E4"/>
    <w:rsid w:val="3CC973F4"/>
    <w:rsid w:val="3D3709FF"/>
    <w:rsid w:val="3DA81C44"/>
    <w:rsid w:val="3DFB4929"/>
    <w:rsid w:val="4002452C"/>
    <w:rsid w:val="40465046"/>
    <w:rsid w:val="433A3292"/>
    <w:rsid w:val="434E21B6"/>
    <w:rsid w:val="43B167AA"/>
    <w:rsid w:val="45AB028E"/>
    <w:rsid w:val="45B8114E"/>
    <w:rsid w:val="45FD1795"/>
    <w:rsid w:val="4701013C"/>
    <w:rsid w:val="483D156B"/>
    <w:rsid w:val="48F5691C"/>
    <w:rsid w:val="49904129"/>
    <w:rsid w:val="4AA97B9F"/>
    <w:rsid w:val="4BB74B68"/>
    <w:rsid w:val="4CB9218D"/>
    <w:rsid w:val="4D1F19DC"/>
    <w:rsid w:val="4D536AC0"/>
    <w:rsid w:val="4DCD3324"/>
    <w:rsid w:val="4E197388"/>
    <w:rsid w:val="4EE342EE"/>
    <w:rsid w:val="5327085B"/>
    <w:rsid w:val="56EC4242"/>
    <w:rsid w:val="588E0972"/>
    <w:rsid w:val="5A500518"/>
    <w:rsid w:val="5A767B16"/>
    <w:rsid w:val="5ACC43F0"/>
    <w:rsid w:val="5B3240FE"/>
    <w:rsid w:val="5D592468"/>
    <w:rsid w:val="5D942CDE"/>
    <w:rsid w:val="5F03343C"/>
    <w:rsid w:val="60B41562"/>
    <w:rsid w:val="61363955"/>
    <w:rsid w:val="62DB68C0"/>
    <w:rsid w:val="636360E0"/>
    <w:rsid w:val="6366186B"/>
    <w:rsid w:val="63E944D3"/>
    <w:rsid w:val="64F56445"/>
    <w:rsid w:val="68951443"/>
    <w:rsid w:val="69206384"/>
    <w:rsid w:val="6AEB3AC8"/>
    <w:rsid w:val="6CFB7DD2"/>
    <w:rsid w:val="6F460571"/>
    <w:rsid w:val="71807EB6"/>
    <w:rsid w:val="72BB575D"/>
    <w:rsid w:val="7525529E"/>
    <w:rsid w:val="759B70D5"/>
    <w:rsid w:val="76FA7678"/>
    <w:rsid w:val="772E0EFE"/>
    <w:rsid w:val="79342A79"/>
    <w:rsid w:val="7D62663A"/>
    <w:rsid w:val="7EC96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before="120" w:after="120"/>
      <w:ind w:firstLine="420" w:firstLineChars="200"/>
      <w:jc w:val="left"/>
    </w:pPr>
    <w:rPr>
      <w:rFonts w:ascii="Calibri" w:hAnsi="Calibri"/>
      <w:kern w:val="0"/>
      <w:lang w:eastAsia="en-US" w:bidi="en-US"/>
    </w:rPr>
  </w:style>
  <w:style w:type="paragraph" w:styleId="3">
    <w:name w:val="Body Text First Indent 2"/>
    <w:basedOn w:val="1"/>
    <w:next w:val="1"/>
    <w:autoRedefine/>
    <w:unhideWhenUsed/>
    <w:qFormat/>
    <w:uiPriority w:val="99"/>
    <w:pPr>
      <w:ind w:firstLine="420"/>
    </w:pPr>
  </w:style>
  <w:style w:type="paragraph" w:styleId="7">
    <w:name w:val="annotation text"/>
    <w:basedOn w:val="1"/>
    <w:link w:val="27"/>
    <w:qFormat/>
    <w:uiPriority w:val="0"/>
    <w:pPr>
      <w:jc w:val="left"/>
    </w:pPr>
  </w:style>
  <w:style w:type="paragraph" w:styleId="8">
    <w:name w:val="Body Text 3"/>
    <w:basedOn w:val="1"/>
    <w:autoRedefine/>
    <w:qFormat/>
    <w:uiPriority w:val="0"/>
    <w:rPr>
      <w:rFonts w:ascii="宋体" w:cs="Times New Roman"/>
      <w:sz w:val="24"/>
      <w:szCs w:val="20"/>
      <w:lang w:val="zh-CN"/>
    </w:rPr>
  </w:style>
  <w:style w:type="paragraph" w:styleId="9">
    <w:name w:val="Body Text"/>
    <w:basedOn w:val="1"/>
    <w:unhideWhenUsed/>
    <w:qFormat/>
    <w:uiPriority w:val="99"/>
    <w:rPr>
      <w:rFonts w:ascii="宋体" w:hAnsi="宋体" w:eastAsia="宋体" w:cs="宋体"/>
      <w:lang w:val="zh-CN" w:bidi="zh-CN"/>
    </w:rPr>
  </w:style>
  <w:style w:type="paragraph" w:styleId="10">
    <w:name w:val="Body Text Indent"/>
    <w:basedOn w:val="1"/>
    <w:qFormat/>
    <w:uiPriority w:val="0"/>
    <w:pPr>
      <w:ind w:left="420" w:leftChars="200"/>
    </w:p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annotation subject"/>
    <w:basedOn w:val="7"/>
    <w:next w:val="7"/>
    <w:link w:val="28"/>
    <w:autoRedefine/>
    <w:qFormat/>
    <w:uiPriority w:val="0"/>
    <w:rPr>
      <w:b/>
      <w:bCs/>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Hyperlink"/>
    <w:basedOn w:val="17"/>
    <w:autoRedefine/>
    <w:qFormat/>
    <w:uiPriority w:val="0"/>
    <w:rPr>
      <w:color w:val="0000FF"/>
      <w:u w:val="single"/>
    </w:rPr>
  </w:style>
  <w:style w:type="character" w:styleId="20">
    <w:name w:val="annotation reference"/>
    <w:basedOn w:val="17"/>
    <w:autoRedefine/>
    <w:qFormat/>
    <w:uiPriority w:val="0"/>
    <w:rPr>
      <w:sz w:val="21"/>
      <w:szCs w:val="21"/>
    </w:rPr>
  </w:style>
  <w:style w:type="character" w:customStyle="1" w:styleId="21">
    <w:name w:val="font21"/>
    <w:basedOn w:val="17"/>
    <w:autoRedefine/>
    <w:qFormat/>
    <w:uiPriority w:val="0"/>
    <w:rPr>
      <w:rFonts w:hint="default" w:ascii="Times New Roman" w:hAnsi="Times New Roman" w:cs="Times New Roman"/>
      <w:color w:val="000000"/>
      <w:sz w:val="16"/>
      <w:szCs w:val="16"/>
      <w:u w:val="none"/>
    </w:rPr>
  </w:style>
  <w:style w:type="character" w:customStyle="1" w:styleId="22">
    <w:name w:val="font11"/>
    <w:basedOn w:val="17"/>
    <w:autoRedefine/>
    <w:qFormat/>
    <w:uiPriority w:val="0"/>
    <w:rPr>
      <w:rFonts w:hint="eastAsia" w:ascii="宋体" w:hAnsi="宋体" w:eastAsia="宋体" w:cs="宋体"/>
      <w:color w:val="000000"/>
      <w:sz w:val="16"/>
      <w:szCs w:val="16"/>
      <w:u w:val="none"/>
    </w:rPr>
  </w:style>
  <w:style w:type="character" w:customStyle="1" w:styleId="23">
    <w:name w:val="font31"/>
    <w:basedOn w:val="17"/>
    <w:autoRedefine/>
    <w:qFormat/>
    <w:uiPriority w:val="0"/>
    <w:rPr>
      <w:rFonts w:hint="eastAsia" w:ascii="宋体" w:hAnsi="宋体" w:eastAsia="宋体" w:cs="宋体"/>
      <w:color w:val="000000"/>
      <w:sz w:val="18"/>
      <w:szCs w:val="18"/>
      <w:u w:val="single"/>
    </w:rPr>
  </w:style>
  <w:style w:type="character" w:customStyle="1" w:styleId="24">
    <w:name w:val="font91"/>
    <w:basedOn w:val="17"/>
    <w:autoRedefine/>
    <w:qFormat/>
    <w:uiPriority w:val="0"/>
    <w:rPr>
      <w:rFonts w:hint="default" w:ascii="Times New Roman" w:hAnsi="Times New Roman" w:cs="Times New Roman"/>
      <w:color w:val="000000"/>
      <w:sz w:val="18"/>
      <w:szCs w:val="18"/>
      <w:u w:val="single"/>
    </w:rPr>
  </w:style>
  <w:style w:type="character" w:customStyle="1" w:styleId="25">
    <w:name w:val="font101"/>
    <w:basedOn w:val="17"/>
    <w:autoRedefine/>
    <w:qFormat/>
    <w:uiPriority w:val="0"/>
    <w:rPr>
      <w:rFonts w:hint="eastAsia" w:ascii="宋体" w:hAnsi="宋体" w:eastAsia="宋体" w:cs="宋体"/>
      <w:color w:val="000000"/>
      <w:sz w:val="19"/>
      <w:szCs w:val="19"/>
      <w:u w:val="none"/>
    </w:rPr>
  </w:style>
  <w:style w:type="paragraph" w:customStyle="1" w:styleId="26">
    <w:name w:val="正文 含缩进"/>
    <w:basedOn w:val="1"/>
    <w:autoRedefine/>
    <w:qFormat/>
    <w:uiPriority w:val="0"/>
    <w:pPr>
      <w:ind w:firstLine="424" w:firstLineChars="202"/>
      <w:jc w:val="left"/>
    </w:pPr>
  </w:style>
  <w:style w:type="character" w:customStyle="1" w:styleId="27">
    <w:name w:val="批注文字 字符"/>
    <w:basedOn w:val="17"/>
    <w:link w:val="7"/>
    <w:autoRedefine/>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14"/>
    <w:autoRedefine/>
    <w:qFormat/>
    <w:uiPriority w:val="0"/>
    <w:rPr>
      <w:rFonts w:asciiTheme="minorHAnsi" w:hAnsiTheme="minorHAnsi" w:eastAsiaTheme="minorEastAsia" w:cstheme="minorBidi"/>
      <w:b/>
      <w:bCs/>
      <w:kern w:val="2"/>
      <w:sz w:val="21"/>
      <w:szCs w:val="24"/>
    </w:rPr>
  </w:style>
  <w:style w:type="character" w:customStyle="1" w:styleId="29">
    <w:name w:val="font81"/>
    <w:basedOn w:val="17"/>
    <w:autoRedefine/>
    <w:qFormat/>
    <w:uiPriority w:val="0"/>
    <w:rPr>
      <w:rFonts w:hint="eastAsia" w:ascii="宋体" w:hAnsi="宋体" w:eastAsia="宋体" w:cs="宋体"/>
      <w:b/>
      <w:bCs/>
      <w:color w:val="000000"/>
      <w:sz w:val="28"/>
      <w:szCs w:val="28"/>
      <w:u w:val="single"/>
    </w:rPr>
  </w:style>
  <w:style w:type="character" w:customStyle="1" w:styleId="30">
    <w:name w:val="font112"/>
    <w:basedOn w:val="17"/>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2840</Words>
  <Characters>4893</Characters>
  <Lines>46</Lines>
  <Paragraphs>13</Paragraphs>
  <TotalTime>13</TotalTime>
  <ScaleCrop>false</ScaleCrop>
  <LinksUpToDate>false</LinksUpToDate>
  <CharactersWithSpaces>5101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邓小刚</cp:lastModifiedBy>
  <dcterms:modified xsi:type="dcterms:W3CDTF">2024-02-22T01:39:02Z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33F1DF61831E4587960F901C2E8EC457_13</vt:lpwstr>
  </property>
</Properties>
</file>