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lang w:val="en-US" w:eastAsia="zh-CN"/>
        </w:rPr>
      </w:pPr>
      <w:r>
        <w:rPr>
          <w:rFonts w:hint="eastAsia" w:ascii="黑体" w:hAnsi="黑体" w:eastAsia="黑体"/>
          <w:b/>
          <w:sz w:val="52"/>
          <w:szCs w:val="52"/>
          <w:lang w:val="en-US" w:eastAsia="zh-CN"/>
        </w:rPr>
        <w:t>乐山高速五彝湾大桥项目</w:t>
      </w:r>
    </w:p>
    <w:p>
      <w:pPr>
        <w:jc w:val="center"/>
        <w:rPr>
          <w:rFonts w:hint="eastAsia" w:ascii="黑体" w:hAnsi="黑体" w:eastAsia="黑体"/>
          <w:b/>
          <w:sz w:val="52"/>
          <w:szCs w:val="52"/>
        </w:rPr>
      </w:pPr>
      <w:r>
        <w:rPr>
          <w:rFonts w:hint="eastAsia" w:ascii="黑体" w:hAnsi="黑体" w:eastAsia="黑体"/>
          <w:b/>
          <w:sz w:val="52"/>
          <w:szCs w:val="52"/>
          <w:lang w:eastAsia="zh-CN"/>
        </w:rPr>
        <w:t>钢管拱、钢横梁</w:t>
      </w:r>
      <w:r>
        <w:rPr>
          <w:rFonts w:hint="eastAsia" w:ascii="黑体" w:hAnsi="黑体" w:eastAsia="黑体"/>
          <w:b/>
          <w:sz w:val="52"/>
          <w:szCs w:val="52"/>
        </w:rPr>
        <w:t>运输招标</w:t>
      </w:r>
    </w:p>
    <w:p/>
    <w:p>
      <w:pPr>
        <w:pStyle w:val="9"/>
      </w:pPr>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Pr>
        <w:pStyle w:val="9"/>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 xml:space="preserve">招（议）标编号： </w:t>
      </w:r>
      <w:r>
        <w:rPr>
          <w:rFonts w:hint="eastAsia" w:ascii="黑体" w:hAnsi="黑体" w:eastAsia="黑体"/>
          <w:color w:val="auto"/>
          <w:sz w:val="32"/>
          <w:szCs w:val="32"/>
        </w:rPr>
        <w:t>CG-XTY-202</w:t>
      </w:r>
      <w:r>
        <w:rPr>
          <w:rFonts w:hint="eastAsia" w:ascii="黑体" w:hAnsi="黑体" w:eastAsia="黑体"/>
          <w:color w:val="auto"/>
          <w:sz w:val="32"/>
          <w:szCs w:val="32"/>
          <w:lang w:val="en-US" w:eastAsia="zh-CN"/>
        </w:rPr>
        <w:t>40221</w:t>
      </w:r>
    </w:p>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
    <w:p>
      <w:pPr>
        <w:pStyle w:val="8"/>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auto"/>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4</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21</w:t>
      </w:r>
      <w:r>
        <w:rPr>
          <w:rFonts w:hint="eastAsia" w:ascii="黑体" w:hAnsi="黑体" w:eastAsia="黑体"/>
          <w:color w:val="auto"/>
          <w:sz w:val="32"/>
          <w:szCs w:val="32"/>
        </w:rPr>
        <w:t>日</w:t>
      </w:r>
    </w:p>
    <w:p/>
    <w:p>
      <w:pPr>
        <w:pStyle w:val="9"/>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乐西高速五彝湾大桥项目钢管拱及桥面钢横梁</w:t>
      </w:r>
      <w:r>
        <w:rPr>
          <w:rFonts w:hint="eastAsia"/>
          <w:color w:val="000000" w:themeColor="text1"/>
          <w:sz w:val="24"/>
          <w14:textFill>
            <w14:solidFill>
              <w14:schemeClr w14:val="tx1"/>
            </w14:solidFill>
          </w14:textFill>
        </w:rPr>
        <w:t>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w:t>
      </w:r>
      <w:r>
        <w:rPr>
          <w:rFonts w:hint="eastAsia"/>
          <w:color w:val="000000" w:themeColor="text1"/>
          <w:sz w:val="24"/>
          <w:lang w:eastAsia="zh-CN"/>
          <w14:textFill>
            <w14:solidFill>
              <w14:schemeClr w14:val="tx1"/>
            </w14:solidFill>
          </w14:textFill>
        </w:rPr>
        <w:t>钢管拱、桥面钢横梁</w:t>
      </w:r>
      <w:r>
        <w:rPr>
          <w:rFonts w:hint="eastAsia"/>
          <w:color w:val="000000" w:themeColor="text1"/>
          <w:sz w:val="24"/>
          <w14:textFill>
            <w14:solidFill>
              <w14:schemeClr w14:val="tx1"/>
            </w14:solidFill>
          </w14:textFill>
        </w:rPr>
        <w:t>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w:t>
      </w:r>
      <w:r>
        <w:rPr>
          <w:rFonts w:hint="eastAsia"/>
          <w:color w:val="auto"/>
          <w:sz w:val="24"/>
        </w:rPr>
        <w:t>202</w:t>
      </w:r>
      <w:r>
        <w:rPr>
          <w:rFonts w:hint="eastAsia"/>
          <w:color w:val="auto"/>
          <w:sz w:val="24"/>
          <w:lang w:val="en-US" w:eastAsia="zh-CN"/>
        </w:rPr>
        <w:t>4</w:t>
      </w:r>
      <w:r>
        <w:rPr>
          <w:rFonts w:hint="eastAsia"/>
          <w:color w:val="auto"/>
          <w:sz w:val="24"/>
        </w:rPr>
        <w:t>年</w:t>
      </w:r>
      <w:r>
        <w:rPr>
          <w:rFonts w:hint="eastAsia"/>
          <w:color w:val="auto"/>
          <w:sz w:val="24"/>
          <w:lang w:val="en-US" w:eastAsia="zh-CN"/>
        </w:rPr>
        <w:t>3</w:t>
      </w:r>
      <w:r>
        <w:rPr>
          <w:rFonts w:hint="eastAsia"/>
          <w:color w:val="auto"/>
          <w:sz w:val="24"/>
        </w:rPr>
        <w:t>月--202</w:t>
      </w:r>
      <w:r>
        <w:rPr>
          <w:rFonts w:hint="eastAsia"/>
          <w:color w:val="auto"/>
          <w:sz w:val="24"/>
          <w:lang w:val="en-US" w:eastAsia="zh-CN"/>
        </w:rPr>
        <w:t>4</w:t>
      </w:r>
      <w:r>
        <w:rPr>
          <w:rFonts w:hint="eastAsia"/>
          <w:color w:val="auto"/>
          <w:sz w:val="24"/>
        </w:rPr>
        <w:t>年</w:t>
      </w:r>
      <w:r>
        <w:rPr>
          <w:rFonts w:hint="eastAsia"/>
          <w:color w:val="auto"/>
          <w:sz w:val="24"/>
          <w:lang w:val="en-US" w:eastAsia="zh-CN"/>
        </w:rPr>
        <w:t>10月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9"/>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lang w:val="en-US" w:eastAsia="zh-CN"/>
        </w:rPr>
        <w:t>整个工程</w:t>
      </w:r>
      <w:r>
        <w:rPr>
          <w:rFonts w:hint="eastAsia"/>
          <w:sz w:val="24"/>
        </w:rPr>
        <w:t>完成，双方办理</w:t>
      </w:r>
      <w:r>
        <w:rPr>
          <w:rFonts w:hint="eastAsia"/>
          <w:sz w:val="24"/>
          <w:lang w:eastAsia="zh-CN"/>
        </w:rPr>
        <w:t>最终</w:t>
      </w:r>
      <w:r>
        <w:rPr>
          <w:rFonts w:hint="eastAsia"/>
          <w:sz w:val="24"/>
        </w:rPr>
        <w:t>结算后支付至结算总额的100%。</w:t>
      </w:r>
    </w:p>
    <w:p>
      <w:pPr>
        <w:pStyle w:val="10"/>
        <w:spacing w:line="360" w:lineRule="auto"/>
        <w:ind w:left="0" w:leftChars="0" w:firstLine="480" w:firstLineChars="200"/>
      </w:pPr>
      <w:r>
        <w:rPr>
          <w:rFonts w:hint="eastAsia"/>
          <w:sz w:val="24"/>
        </w:rPr>
        <w:t>（2）甲方在支付进度款前，乙方须开具相应金额的增值税专用发票。</w:t>
      </w:r>
    </w:p>
    <w:p>
      <w:pPr>
        <w:pStyle w:val="9"/>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202</w:t>
      </w:r>
      <w:r>
        <w:rPr>
          <w:rFonts w:hint="eastAsia"/>
          <w:color w:val="auto"/>
          <w:sz w:val="24"/>
          <w:lang w:val="en-US" w:eastAsia="zh-CN"/>
        </w:rPr>
        <w:t>4</w:t>
      </w:r>
      <w:r>
        <w:rPr>
          <w:rFonts w:hint="eastAsia"/>
          <w:color w:val="auto"/>
          <w:sz w:val="24"/>
        </w:rPr>
        <w:t>年</w:t>
      </w:r>
      <w:r>
        <w:rPr>
          <w:rFonts w:hint="eastAsia"/>
          <w:color w:val="auto"/>
          <w:sz w:val="24"/>
          <w:lang w:val="en-US" w:eastAsia="zh-CN"/>
        </w:rPr>
        <w:t>3</w:t>
      </w:r>
      <w:r>
        <w:rPr>
          <w:rFonts w:hint="eastAsia"/>
          <w:color w:val="auto"/>
          <w:sz w:val="24"/>
        </w:rPr>
        <w:t>月</w:t>
      </w:r>
      <w:r>
        <w:rPr>
          <w:rFonts w:hint="eastAsia"/>
          <w:color w:val="auto"/>
          <w:sz w:val="24"/>
          <w:lang w:val="en-US" w:eastAsia="zh-CN"/>
        </w:rPr>
        <w:t>1</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9"/>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9"/>
        <w:tabs>
          <w:tab w:val="left" w:pos="297"/>
        </w:tabs>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 xml:space="preserve">邱果  18096212997  </w:t>
      </w:r>
    </w:p>
    <w:p>
      <w:pPr>
        <w:numPr>
          <w:ilvl w:val="0"/>
          <w:numId w:val="0"/>
        </w:numPr>
        <w:spacing w:line="360" w:lineRule="auto"/>
        <w:ind w:firstLine="480" w:firstLineChars="200"/>
        <w:rPr>
          <w:rFonts w:hint="eastAsia" w:ascii="宋体" w:hAnsi="宋体" w:eastAsia="宋体" w:cs="宋体"/>
          <w:color w:val="000000" w:themeColor="text1"/>
          <w:kern w:val="2"/>
          <w:sz w:val="24"/>
          <w:szCs w:val="24"/>
          <w:lang w:val="en-US" w:eastAsia="zh-CN" w:bidi="zh-CN"/>
          <w14:textFill>
            <w14:solidFill>
              <w14:schemeClr w14:val="tx1"/>
            </w14:solidFill>
          </w14:textFill>
        </w:rPr>
      </w:pPr>
      <w:r>
        <w:rPr>
          <w:rFonts w:hint="eastAsia"/>
          <w:color w:val="000000" w:themeColor="text1"/>
          <w:sz w:val="24"/>
          <w:lang w:val="en-US" w:eastAsia="zh-CN"/>
          <w14:textFill>
            <w14:solidFill>
              <w14:schemeClr w14:val="tx1"/>
            </w14:solidFill>
          </w14:textFill>
        </w:rPr>
        <w:t>运输目的</w:t>
      </w:r>
      <w:r>
        <w:rPr>
          <w:rFonts w:hint="eastAsia" w:ascii="宋体" w:hAnsi="宋体" w:eastAsia="宋体" w:cs="宋体"/>
          <w:color w:val="000000" w:themeColor="text1"/>
          <w:kern w:val="2"/>
          <w:sz w:val="24"/>
          <w:szCs w:val="24"/>
          <w:lang w:val="en-US" w:eastAsia="zh-CN" w:bidi="zh-CN"/>
          <w14:textFill>
            <w14:solidFill>
              <w14:schemeClr w14:val="tx1"/>
            </w14:solidFill>
          </w14:textFill>
        </w:rPr>
        <w:t>地：乐山市马边县袁家溪</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注：详细运输位置可与邱果联系。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w:t>
      </w:r>
      <w:r>
        <w:rPr>
          <w:rFonts w:hint="eastAsia"/>
          <w:b/>
          <w:bCs/>
          <w:sz w:val="28"/>
          <w:szCs w:val="28"/>
          <w:lang w:val="en-US" w:eastAsia="zh-CN"/>
        </w:rPr>
        <w:t xml:space="preserve"> </w:t>
      </w:r>
      <w:r>
        <w:rPr>
          <w:rFonts w:hint="eastAsia"/>
          <w:b/>
          <w:bCs/>
          <w:sz w:val="28"/>
          <w:szCs w:val="28"/>
        </w:rPr>
        <w:t>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仅首次合作需缴纳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numPr>
          <w:ilvl w:val="0"/>
          <w:numId w:val="2"/>
        </w:numPr>
        <w:spacing w:line="360" w:lineRule="auto"/>
        <w:outlineLvl w:val="2"/>
        <w:rPr>
          <w:rFonts w:hint="eastAsia"/>
          <w:b/>
          <w:bCs/>
          <w:sz w:val="24"/>
        </w:rPr>
      </w:pPr>
      <w:r>
        <w:rPr>
          <w:rFonts w:hint="eastAsia"/>
          <w:b/>
          <w:bCs/>
          <w:sz w:val="24"/>
        </w:rPr>
        <w:t>其它</w:t>
      </w:r>
    </w:p>
    <w:p>
      <w:pPr>
        <w:spacing w:line="360" w:lineRule="auto"/>
        <w:rPr>
          <w:sz w:val="24"/>
        </w:rPr>
      </w:pPr>
      <w:r>
        <w:rPr>
          <w:rFonts w:hint="eastAsia"/>
          <w:sz w:val="24"/>
        </w:rPr>
        <w:t>3.</w:t>
      </w:r>
      <w:r>
        <w:rPr>
          <w:rFonts w:hint="eastAsia"/>
          <w:sz w:val="24"/>
          <w:lang w:val="en-US" w:eastAsia="zh-CN"/>
        </w:rPr>
        <w:t>1</w:t>
      </w:r>
      <w:r>
        <w:rPr>
          <w:rFonts w:hint="eastAsia"/>
          <w:sz w:val="24"/>
        </w:rPr>
        <w:t>投标文件逾期送达的，招标人不予受理：</w:t>
      </w:r>
    </w:p>
    <w:p>
      <w:pPr>
        <w:spacing w:line="360" w:lineRule="auto"/>
        <w:rPr>
          <w:sz w:val="24"/>
        </w:rPr>
      </w:pPr>
      <w:r>
        <w:rPr>
          <w:rFonts w:hint="eastAsia"/>
          <w:sz w:val="24"/>
        </w:rPr>
        <w:t>3.</w:t>
      </w:r>
      <w:r>
        <w:rPr>
          <w:rFonts w:hint="eastAsia"/>
          <w:sz w:val="24"/>
          <w:lang w:val="en-US" w:eastAsia="zh-CN"/>
        </w:rPr>
        <w:t>2</w:t>
      </w:r>
      <w:r>
        <w:rPr>
          <w:rFonts w:hint="eastAsia"/>
          <w:sz w:val="24"/>
        </w:rPr>
        <w:t>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6"/>
        <w:rPr>
          <w:sz w:val="24"/>
        </w:rPr>
      </w:pPr>
    </w:p>
    <w:p>
      <w:pPr>
        <w:pStyle w:val="6"/>
        <w:rPr>
          <w:sz w:val="24"/>
        </w:rPr>
      </w:pPr>
    </w:p>
    <w:p>
      <w:pPr>
        <w:pStyle w:val="6"/>
        <w:rPr>
          <w:sz w:val="24"/>
        </w:rPr>
      </w:pPr>
    </w:p>
    <w:p>
      <w:pPr>
        <w:pStyle w:val="6"/>
        <w:rPr>
          <w:sz w:val="24"/>
        </w:rPr>
      </w:pPr>
    </w:p>
    <w:p>
      <w:pPr>
        <w:pStyle w:val="6"/>
        <w:rPr>
          <w:sz w:val="24"/>
        </w:rPr>
      </w:pPr>
    </w:p>
    <w:p>
      <w:pPr>
        <w:pStyle w:val="6"/>
        <w:rPr>
          <w:sz w:val="24"/>
        </w:rPr>
      </w:pPr>
    </w:p>
    <w:p>
      <w:pPr>
        <w:pStyle w:val="6"/>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乐西高速五彝湾大桥</w:t>
      </w:r>
      <w:r>
        <w:rPr>
          <w:rFonts w:hint="eastAsia" w:ascii="宋体" w:hAnsi="宋体" w:eastAsia="宋体" w:cs="宋体"/>
          <w:b/>
          <w:bCs/>
          <w:i w:val="0"/>
          <w:iCs w:val="0"/>
          <w:color w:val="000000"/>
          <w:kern w:val="0"/>
          <w:sz w:val="28"/>
          <w:szCs w:val="28"/>
          <w:u w:val="none"/>
          <w:lang w:val="en-US" w:eastAsia="zh-CN" w:bidi="ar"/>
        </w:rPr>
        <w:t>项目</w:t>
      </w:r>
      <w:r>
        <w:rPr>
          <w:rFonts w:hint="eastAsia"/>
          <w:b/>
          <w:bCs/>
          <w:sz w:val="28"/>
          <w:szCs w:val="28"/>
        </w:rPr>
        <w:t>报价清单</w:t>
      </w:r>
    </w:p>
    <w:tbl>
      <w:tblPr>
        <w:tblStyle w:val="15"/>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乐西高速五彝湾大桥项目钢梁运输询价单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二、项目名称：乐西高速五彝湾大桥项目</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三、构件清单明细表（见附件）（约1771.6吨）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9"/>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17.5米拖挂货车：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终点：乐山市马边县袁家溪五彝湾大桥工地</w:t>
            </w:r>
            <w:r>
              <w:rPr>
                <w:rStyle w:val="30"/>
                <w:rFonts w:ascii="宋体" w:hAnsi="宋体" w:eastAsia="宋体" w:cs="宋体"/>
                <w:sz w:val="24"/>
                <w:szCs w:val="24"/>
                <w:lang w:val="en-US" w:eastAsia="zh-CN" w:bidi="ar"/>
              </w:rPr>
              <w:t>，全程</w:t>
            </w:r>
            <w:r>
              <w:rPr>
                <w:rFonts w:hint="eastAsia" w:ascii="宋体" w:hAnsi="宋体" w:eastAsia="宋体" w:cs="宋体"/>
                <w:b/>
                <w:bCs/>
                <w:i w:val="0"/>
                <w:iCs w:val="0"/>
                <w:color w:val="000000"/>
                <w:kern w:val="0"/>
                <w:sz w:val="22"/>
                <w:szCs w:val="22"/>
                <w:u w:val="single"/>
                <w:lang w:val="en-US" w:eastAsia="zh-CN" w:bidi="ar"/>
              </w:rPr>
              <w:t>约350KM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2024年3月--2024年10月（具体发运顺序根据现场吊装顺序进行安排）；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6）报价表递交时间：</w:t>
            </w:r>
            <w:r>
              <w:rPr>
                <w:rFonts w:hint="eastAsia" w:ascii="宋体" w:hAnsi="宋体" w:eastAsia="宋体" w:cs="宋体"/>
                <w:i w:val="0"/>
                <w:iCs w:val="0"/>
                <w:color w:val="auto"/>
                <w:kern w:val="0"/>
                <w:sz w:val="22"/>
                <w:szCs w:val="22"/>
                <w:u w:val="none"/>
                <w:lang w:val="en-US" w:eastAsia="zh-CN" w:bidi="ar"/>
              </w:rPr>
              <w:t>2024年3月1日前</w:t>
            </w:r>
            <w:r>
              <w:rPr>
                <w:rFonts w:hint="eastAsia" w:ascii="宋体" w:hAnsi="宋体" w:eastAsia="宋体" w:cs="宋体"/>
                <w:i w:val="0"/>
                <w:iCs w:val="0"/>
                <w:color w:val="000000"/>
                <w:kern w:val="0"/>
                <w:sz w:val="22"/>
                <w:szCs w:val="22"/>
                <w:u w:val="none"/>
                <w:lang w:val="en-US" w:eastAsia="zh-CN" w:bidi="ar"/>
              </w:rPr>
              <w:t>；</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9"/>
        <w:rPr>
          <w:lang w:val="en-US" w:bidi="ar-SA"/>
        </w:rPr>
      </w:pPr>
    </w:p>
    <w:p>
      <w:pPr>
        <w:widowControl/>
        <w:numPr>
          <w:ilvl w:val="0"/>
          <w:numId w:val="0"/>
        </w:numPr>
        <w:jc w:val="left"/>
      </w:pPr>
      <w:r>
        <w:br w:type="page"/>
      </w:r>
    </w:p>
    <w:p>
      <w:pPr>
        <w:widowControl/>
        <w:numPr>
          <w:ilvl w:val="0"/>
          <w:numId w:val="0"/>
        </w:numPr>
        <w:jc w:val="left"/>
        <w:rPr>
          <w:rFonts w:hint="eastAsia"/>
          <w:lang w:val="en-US" w:eastAsia="zh-CN"/>
        </w:rPr>
      </w:pPr>
      <w:r>
        <w:rPr>
          <w:rFonts w:hint="eastAsia"/>
          <w:b/>
          <w:bCs/>
          <w:sz w:val="28"/>
          <w:szCs w:val="28"/>
          <w:lang w:val="en-US" w:eastAsia="zh-CN"/>
        </w:rPr>
        <w:t xml:space="preserve">第四部分 </w:t>
      </w:r>
      <w:r>
        <w:rPr>
          <w:rFonts w:hint="eastAsia" w:ascii="宋体" w:hAnsi="宋体" w:eastAsia="宋体" w:cs="宋体"/>
          <w:b/>
          <w:bCs/>
          <w:i w:val="0"/>
          <w:iCs w:val="0"/>
          <w:color w:val="000000"/>
          <w:kern w:val="0"/>
          <w:sz w:val="28"/>
          <w:szCs w:val="28"/>
          <w:u w:val="none"/>
          <w:lang w:val="en-US" w:eastAsia="zh-CN" w:bidi="ar"/>
        </w:rPr>
        <w:t>乐西高速五彝湾钢管拱及桥面钢横梁</w:t>
      </w:r>
      <w:r>
        <w:rPr>
          <w:rFonts w:hint="eastAsia"/>
          <w:b/>
          <w:bCs/>
          <w:sz w:val="28"/>
          <w:szCs w:val="28"/>
          <w:lang w:val="en-US" w:eastAsia="zh-CN"/>
        </w:rPr>
        <w:t>清单配套表</w:t>
      </w:r>
    </w:p>
    <w:tbl>
      <w:tblPr>
        <w:tblStyle w:val="15"/>
        <w:tblW w:w="10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6"/>
        <w:gridCol w:w="1525"/>
        <w:gridCol w:w="1550"/>
        <w:gridCol w:w="2357"/>
        <w:gridCol w:w="718"/>
        <w:gridCol w:w="739"/>
        <w:gridCol w:w="1264"/>
        <w:gridCol w:w="1157"/>
        <w:gridCol w:w="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05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WY拱肋总图配套表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零部件编号</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w:t>
            </w: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重量(kg)</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单件</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1600×2927×7542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9013.6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9013.6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1600×3393×8452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10739.1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10739.1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1600×3392×7765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10147.1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10147.1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1600×3460×11980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15005.9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15005.9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2100×3412×8403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8302.3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8302.3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1600×3471×11986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12561.2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12561.2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1600×3472×11882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12393.4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12393.4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2100×3462×12334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12828.0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12828.0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左侧节段L9</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WY-ZL9</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1600×3383×11468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11874.4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11874.4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WY-ZL10</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1600×3419×10997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11423.5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11423.5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WY-ZL11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2100×3439×10901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11349.6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11349.6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WY-ZL12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1600×3479×11619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12119.9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12119.9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WY-ZL13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1600×3496×12086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12617.8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12617.8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WY-ZL14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2100×3475×11726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12325.2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12325.2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WY-ZL15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1600×3451×12111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14908.7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14908.7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WY-ZL16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1600×3398×8049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10309.2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10309.2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WY-ZL17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1600×3394×8188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10361.5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10361.5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WY-ZL18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1600×2826×7557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8704.3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8704.3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1600×2927×7542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9013.6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9013.6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1600×3393×8452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10739.1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10739.1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1600×3392×7765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10147.1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10147.1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1600×3460×11980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15005.9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15005.9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2100×3412×8403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8302.3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8302.3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1600×3471×11986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12561.2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12561.2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1600×3472×11882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12393.4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12393.4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2100×3462×12334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12828.0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12828.0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右侧节段L9</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WY-YL9</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1600×3383×11468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11874.4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11874.4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WY-YL10</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1600×3419×10997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11423.5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11423.5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WY-YL11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2100×3439×10901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11349.6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11349.6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WY-YL12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1600×3479×11619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12119.9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12119.9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WY-YL13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1600×3496×12086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12617.8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12617.8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WY-YL14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2100×3475×11726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12325.2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12325.2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WY-YL15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1600×3451×12111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14908.7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14908.7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WY-YL16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1600×3398×8049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10309.2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10309.2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WY-YL17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1600×3394×8188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10361.5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10361.5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WY-YL18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1600×2826×7557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8704.3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8704.3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合拢段</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WY-GQB</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φ1200×600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横撑</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WY-HC</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26992.1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102848.4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腹板嵌补</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WY-F-QB1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-22×6400×500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552.6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552.6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嵌补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腹板嵌补</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WY-F-QB2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-18×8000×500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565.2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565.2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嵌补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导向板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WY-GDX</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-12×200×1000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271.3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腹板加劲</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WY-FJ1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-16×180×562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82.4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腹板加劲</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WY-FJ2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-16×180×562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11.7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375.0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主拱外包板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WY-G-WB1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-18×451×800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22023.8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主拱外包板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WY-G-WB2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-18×398×800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6478.5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横撑外包板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WY-HC-WB1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-12×389×500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293.2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横撑外包板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WY-HC-WB2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-12×398×500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18.7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1499.7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WY-LJ</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-30×400×750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61.4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122.8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锚垫板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WY-MD1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-50×500×500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68.1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3674.87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WY-WG1</w:t>
            </w:r>
          </w:p>
        </w:tc>
        <w:tc>
          <w:tcPr>
            <w:tcW w:w="235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2469.6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4939.2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WY-WG2</w:t>
            </w:r>
          </w:p>
        </w:tc>
        <w:tc>
          <w:tcPr>
            <w:tcW w:w="235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1791.9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3583.8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WY-WG3</w:t>
            </w:r>
          </w:p>
        </w:tc>
        <w:tc>
          <w:tcPr>
            <w:tcW w:w="235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2467.2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4934.4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WY-WG4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2732.2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5464.3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WY-WG5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2108.0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4216.0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WY-WG6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2469.6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4939.2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WY-WG7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2770.9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5541.8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WY-WG8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2467.0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4934.1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WY-WBA1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16×856×5145</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551.9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1103.7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WY-WBA2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16×856×6400</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WY-WBB1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16×856×5145</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551.9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1103.7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WY-WBB2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16×856×6400</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WY-WBA3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16×856×6405</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638.3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1276.5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WY-WBA4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16×856×5149</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554.9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1109.8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WY-WBB3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16×856×6405</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638.3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1276.5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WY-WBB4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16×856×5149</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554.9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1109.8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WY-N1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16×184×200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499.3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高强度螺栓</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M30×100</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1228-2006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05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WZ拱肋总图配套表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零部件编号</w:t>
            </w:r>
          </w:p>
        </w:tc>
        <w:tc>
          <w:tcPr>
            <w:tcW w:w="23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w:t>
            </w: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重量(kg)</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3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单件</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1600×2927×7542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9013.6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9013.6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1600×2940×8452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10256.8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10256.8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1600×3392×7765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10147.1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10147.1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1600×3460×11980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15005.9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15005.9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2100×3412×8403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8302.3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8302.3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1600×3471×11986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12561.2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12561.2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1600×3472×11882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12393.4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12393.4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2100×3462×12334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12828.0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12828.0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左侧节段L9</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WZ-ZL9</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1600×3383×11468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11874.4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11874.4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WZ-ZL10</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1600×3419×10997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11423.5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11423.5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WZ-ZL11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2100×3439×10901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11349.6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11349.6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WZ-ZL12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1600×3479×11619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12119.9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12119.9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WZ-ZL13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1600×3496×12086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12617.8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12617.8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WZ-ZL14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2100×3475×11726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12325.2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12325.2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WZ-ZL15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1600×3451×12111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14908.7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14908.7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WZ-ZL16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1600×3398×8049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10309.2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10309.2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WZ-ZL17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1600×2940×8188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9909.7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9909.7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左侧节段L18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WZ-ZL18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1600×2826×7557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8704.3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8704.3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1600×2927×7542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9013.6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9013.6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1600×3393×8452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10256.8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10256.8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1600×3392×7765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10147.1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10147.1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1600×3460×11980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15005.9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15005.9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2100×3412×8403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8302.3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8302.3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1600×3471×11986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12561.2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12561.2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1600×3472×11882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12393.4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12393.4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2100×3462×12334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12828.0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12828.0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右侧节段L9</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WZ-YL9</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1600×3383×11468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11874.4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11874.4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WZ-YL10</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1600×3419×10997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11423.5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11423.5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WZ-YL11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2100×3439×10901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11349.6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11349.6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WZ-YL12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1600×3479×11619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12119.9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12119.9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WZ-YL13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1600×3496×12086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12632.4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12632.4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WZ-YL14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2100×3475×11726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12338.5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12338.5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WZ-YL15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1600×3451×12111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14927.7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14927.7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WZ-YL16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1600×3398×8049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10510.5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10510.5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WZ-YL17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1600×3394×8188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9922.5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9922.5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右侧节段L18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WZ-YL18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1600×2826×7557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8717.7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8717.7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合拢段</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WZ-GQB</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φ1200×600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横撑</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WZ-HC</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26992.1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102848.4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腹板嵌补</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WZ-F-QB1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-22×6400×500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552.6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552.6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嵌补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腹板嵌补</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WZ-F-QB2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-18×8000×500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565.2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565.2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嵌补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导向板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WZ-GDX</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-12×200×1000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271.3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腹板加劲</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WZ-FJ1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-16×180×562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82.4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腹板加劲</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WZ-FJ2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-16×180×562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11.7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375.0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主拱外包板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WZ-G-WB1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-18×451×800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22023.8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主拱外包板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WZ-G-WB2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-18×398×800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6478.5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横撑外包板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WZ-HC-WB1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-12×389×500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293.2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横撑外包板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WZ-HC-WB2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-12×398×500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18.7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1499.7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WZ-LJ</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-30×400×750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61.4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122.8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锚垫板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WZ-MD1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-50×500×500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68.1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3402.66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WZ-WG1</w:t>
            </w:r>
          </w:p>
        </w:tc>
        <w:tc>
          <w:tcPr>
            <w:tcW w:w="235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2469.6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4939.2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WZ-WG2</w:t>
            </w:r>
          </w:p>
        </w:tc>
        <w:tc>
          <w:tcPr>
            <w:tcW w:w="235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1791.9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3583.8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WZ-WG3</w:t>
            </w:r>
          </w:p>
        </w:tc>
        <w:tc>
          <w:tcPr>
            <w:tcW w:w="235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2467.2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4934.4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WZ-WG4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2732.2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5464.3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WZ-WG5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2108.0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4216.0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WZ-WG6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2469.6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4939.2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WZ-WG7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2770.9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5541.8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外包钢管</w:t>
            </w:r>
          </w:p>
        </w:tc>
        <w:tc>
          <w:tcPr>
            <w:tcW w:w="155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WZ-WG8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2467.0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4934.1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WZ-WBA1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16×856×5145</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551.9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1103.7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WZ-WBA2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16×856×6400</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WZ-WBB1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16×856×5145</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551.9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1103.7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WZ-WBB2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16×856×6400</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WZ-WBA3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16×856×6405</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638.3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1276.5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WZ-WBA4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16×856×5149</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554.9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1109.8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WZ-WBB3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16×856×6405</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638.3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1276.5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WZ-WBB4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16×856×5149</w:t>
            </w:r>
          </w:p>
        </w:tc>
        <w:tc>
          <w:tcPr>
            <w:tcW w:w="7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554.9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1109.8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WZ-N1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16×184×200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Q355C</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499.3 </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高强度螺栓</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M30×100</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1228-2006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105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2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55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零部件编号</w:t>
            </w:r>
          </w:p>
        </w:tc>
        <w:tc>
          <w:tcPr>
            <w:tcW w:w="235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w:t>
            </w: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重量(kg)</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52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55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35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单件</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普通横梁PHA</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WZ-PHA</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16752×600×1662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5874.2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293708.2 </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普通横梁PHB</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WZ-PHB</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11635×600×1623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3067.0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153351.5 </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端横梁</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WY-DHL</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11552×700×1431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5670.6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11341.3 </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端横梁</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WZ-DHL</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11552×700×1431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5670.6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11341.3 </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pStyle w:val="9"/>
        <w:rPr>
          <w:rFonts w:hint="eastAsia"/>
          <w:lang w:val="en-US" w:eastAsia="zh-CN"/>
        </w:rPr>
      </w:pPr>
      <w:bookmarkStart w:id="0" w:name="_GoBack"/>
      <w:bookmarkEnd w:id="0"/>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fldChar w:fldCharType="begin"/>
    </w:r>
    <w:r>
      <w:rPr>
        <w:rStyle w:val="18"/>
      </w:rPr>
      <w:instrText xml:space="preserve">PAGE  </w:instrText>
    </w:r>
    <w:r>
      <w:fldChar w:fldCharType="separate"/>
    </w:r>
    <w:r>
      <w:rPr>
        <w:rStyle w:val="18"/>
      </w:rPr>
      <w:t>3</w: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D9A57819"/>
    <w:multiLevelType w:val="singleLevel"/>
    <w:tmpl w:val="D9A5781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7805477"/>
    <w:rsid w:val="09477246"/>
    <w:rsid w:val="0BF04F64"/>
    <w:rsid w:val="0D074A6C"/>
    <w:rsid w:val="102C4895"/>
    <w:rsid w:val="19972429"/>
    <w:rsid w:val="199D3F96"/>
    <w:rsid w:val="1A39185D"/>
    <w:rsid w:val="1F07713E"/>
    <w:rsid w:val="1F7F1DD4"/>
    <w:rsid w:val="1FC76D7C"/>
    <w:rsid w:val="23BA2F97"/>
    <w:rsid w:val="28167080"/>
    <w:rsid w:val="294E0FE3"/>
    <w:rsid w:val="2A08297F"/>
    <w:rsid w:val="2DE62848"/>
    <w:rsid w:val="2E7F6E67"/>
    <w:rsid w:val="2EA756E3"/>
    <w:rsid w:val="2FB21584"/>
    <w:rsid w:val="307D48E1"/>
    <w:rsid w:val="32C23872"/>
    <w:rsid w:val="34A018E6"/>
    <w:rsid w:val="374213A4"/>
    <w:rsid w:val="3B3F32FE"/>
    <w:rsid w:val="3C0D345A"/>
    <w:rsid w:val="3C0F44E4"/>
    <w:rsid w:val="3CC973F4"/>
    <w:rsid w:val="3D3709FF"/>
    <w:rsid w:val="3DA81C44"/>
    <w:rsid w:val="3DFB4929"/>
    <w:rsid w:val="4002452C"/>
    <w:rsid w:val="40465046"/>
    <w:rsid w:val="41A84996"/>
    <w:rsid w:val="433A3292"/>
    <w:rsid w:val="434E21B6"/>
    <w:rsid w:val="43B167AA"/>
    <w:rsid w:val="45AB028E"/>
    <w:rsid w:val="45B8114E"/>
    <w:rsid w:val="45FD1795"/>
    <w:rsid w:val="4701013C"/>
    <w:rsid w:val="483D156B"/>
    <w:rsid w:val="48F5691C"/>
    <w:rsid w:val="49904129"/>
    <w:rsid w:val="4AA97B9F"/>
    <w:rsid w:val="4BB74B68"/>
    <w:rsid w:val="4D1F19DC"/>
    <w:rsid w:val="4D536AC0"/>
    <w:rsid w:val="4DCD3324"/>
    <w:rsid w:val="4EE342EE"/>
    <w:rsid w:val="521D5C4B"/>
    <w:rsid w:val="5327085B"/>
    <w:rsid w:val="56EC4242"/>
    <w:rsid w:val="588E0972"/>
    <w:rsid w:val="5A500518"/>
    <w:rsid w:val="5A767B16"/>
    <w:rsid w:val="5ACC43F0"/>
    <w:rsid w:val="5B3240FE"/>
    <w:rsid w:val="5D592468"/>
    <w:rsid w:val="5D942CDE"/>
    <w:rsid w:val="5F03343C"/>
    <w:rsid w:val="600B4791"/>
    <w:rsid w:val="60B41562"/>
    <w:rsid w:val="61363955"/>
    <w:rsid w:val="62DB68C0"/>
    <w:rsid w:val="636360E0"/>
    <w:rsid w:val="6366186B"/>
    <w:rsid w:val="63E944D3"/>
    <w:rsid w:val="64F56445"/>
    <w:rsid w:val="68951443"/>
    <w:rsid w:val="69206384"/>
    <w:rsid w:val="6AEB3AC8"/>
    <w:rsid w:val="6CFB7DD2"/>
    <w:rsid w:val="6F460571"/>
    <w:rsid w:val="71807EB6"/>
    <w:rsid w:val="721B6DC5"/>
    <w:rsid w:val="72BB575D"/>
    <w:rsid w:val="7525529E"/>
    <w:rsid w:val="759B70D5"/>
    <w:rsid w:val="76FA7678"/>
    <w:rsid w:val="772E0EFE"/>
    <w:rsid w:val="79342A79"/>
    <w:rsid w:val="7D62663A"/>
    <w:rsid w:val="7EC9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spacing w:before="120" w:after="120"/>
      <w:ind w:firstLine="420" w:firstLineChars="200"/>
      <w:jc w:val="left"/>
    </w:pPr>
    <w:rPr>
      <w:rFonts w:ascii="Calibri" w:hAnsi="Calibri"/>
      <w:kern w:val="0"/>
      <w:lang w:eastAsia="en-US" w:bidi="en-US"/>
    </w:rPr>
  </w:style>
  <w:style w:type="paragraph" w:styleId="6">
    <w:name w:val="Body Text First Indent 2"/>
    <w:basedOn w:val="1"/>
    <w:next w:val="1"/>
    <w:autoRedefine/>
    <w:unhideWhenUsed/>
    <w:qFormat/>
    <w:uiPriority w:val="99"/>
    <w:pPr>
      <w:ind w:firstLine="420"/>
    </w:pPr>
  </w:style>
  <w:style w:type="paragraph" w:styleId="7">
    <w:name w:val="annotation text"/>
    <w:basedOn w:val="1"/>
    <w:link w:val="27"/>
    <w:autoRedefine/>
    <w:qFormat/>
    <w:uiPriority w:val="0"/>
    <w:pPr>
      <w:jc w:val="left"/>
    </w:pPr>
  </w:style>
  <w:style w:type="paragraph" w:styleId="8">
    <w:name w:val="Body Text 3"/>
    <w:basedOn w:val="1"/>
    <w:autoRedefine/>
    <w:qFormat/>
    <w:uiPriority w:val="0"/>
    <w:rPr>
      <w:rFonts w:ascii="宋体" w:cs="Times New Roman"/>
      <w:sz w:val="24"/>
      <w:szCs w:val="20"/>
      <w:lang w:val="zh-CN"/>
    </w:rPr>
  </w:style>
  <w:style w:type="paragraph" w:styleId="9">
    <w:name w:val="Body Text"/>
    <w:basedOn w:val="1"/>
    <w:autoRedefine/>
    <w:unhideWhenUsed/>
    <w:qFormat/>
    <w:uiPriority w:val="99"/>
    <w:rPr>
      <w:rFonts w:ascii="宋体" w:hAnsi="宋体" w:eastAsia="宋体" w:cs="宋体"/>
      <w:lang w:val="zh-CN" w:bidi="zh-CN"/>
    </w:rPr>
  </w:style>
  <w:style w:type="paragraph" w:styleId="10">
    <w:name w:val="Body Text Indent"/>
    <w:basedOn w:val="1"/>
    <w:autoRedefine/>
    <w:qFormat/>
    <w:uiPriority w:val="0"/>
    <w:pPr>
      <w:ind w:left="420" w:leftChars="200"/>
    </w:p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annotation subject"/>
    <w:basedOn w:val="7"/>
    <w:next w:val="7"/>
    <w:link w:val="28"/>
    <w:autoRedefine/>
    <w:qFormat/>
    <w:uiPriority w:val="0"/>
    <w:rPr>
      <w:b/>
      <w:bCs/>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basedOn w:val="17"/>
    <w:autoRedefine/>
    <w:qFormat/>
    <w:uiPriority w:val="0"/>
    <w:rPr>
      <w:color w:val="0000FF"/>
      <w:u w:val="single"/>
    </w:rPr>
  </w:style>
  <w:style w:type="character" w:styleId="20">
    <w:name w:val="annotation reference"/>
    <w:basedOn w:val="17"/>
    <w:autoRedefine/>
    <w:qFormat/>
    <w:uiPriority w:val="0"/>
    <w:rPr>
      <w:sz w:val="21"/>
      <w:szCs w:val="21"/>
    </w:rPr>
  </w:style>
  <w:style w:type="character" w:customStyle="1" w:styleId="21">
    <w:name w:val="font21"/>
    <w:basedOn w:val="17"/>
    <w:autoRedefine/>
    <w:qFormat/>
    <w:uiPriority w:val="0"/>
    <w:rPr>
      <w:rFonts w:hint="default" w:ascii="Times New Roman" w:hAnsi="Times New Roman" w:cs="Times New Roman"/>
      <w:color w:val="000000"/>
      <w:sz w:val="16"/>
      <w:szCs w:val="16"/>
      <w:u w:val="none"/>
    </w:rPr>
  </w:style>
  <w:style w:type="character" w:customStyle="1" w:styleId="22">
    <w:name w:val="font11"/>
    <w:basedOn w:val="17"/>
    <w:autoRedefine/>
    <w:qFormat/>
    <w:uiPriority w:val="0"/>
    <w:rPr>
      <w:rFonts w:hint="eastAsia" w:ascii="宋体" w:hAnsi="宋体" w:eastAsia="宋体" w:cs="宋体"/>
      <w:color w:val="000000"/>
      <w:sz w:val="16"/>
      <w:szCs w:val="16"/>
      <w:u w:val="none"/>
    </w:rPr>
  </w:style>
  <w:style w:type="character" w:customStyle="1" w:styleId="23">
    <w:name w:val="font31"/>
    <w:basedOn w:val="17"/>
    <w:autoRedefine/>
    <w:qFormat/>
    <w:uiPriority w:val="0"/>
    <w:rPr>
      <w:rFonts w:hint="eastAsia" w:ascii="宋体" w:hAnsi="宋体" w:eastAsia="宋体" w:cs="宋体"/>
      <w:color w:val="000000"/>
      <w:sz w:val="18"/>
      <w:szCs w:val="18"/>
      <w:u w:val="single"/>
    </w:rPr>
  </w:style>
  <w:style w:type="character" w:customStyle="1" w:styleId="24">
    <w:name w:val="font91"/>
    <w:basedOn w:val="17"/>
    <w:autoRedefine/>
    <w:qFormat/>
    <w:uiPriority w:val="0"/>
    <w:rPr>
      <w:rFonts w:hint="default" w:ascii="Times New Roman" w:hAnsi="Times New Roman" w:cs="Times New Roman"/>
      <w:color w:val="000000"/>
      <w:sz w:val="18"/>
      <w:szCs w:val="18"/>
      <w:u w:val="single"/>
    </w:rPr>
  </w:style>
  <w:style w:type="character" w:customStyle="1" w:styleId="25">
    <w:name w:val="font101"/>
    <w:basedOn w:val="17"/>
    <w:autoRedefine/>
    <w:qFormat/>
    <w:uiPriority w:val="0"/>
    <w:rPr>
      <w:rFonts w:hint="eastAsia" w:ascii="宋体" w:hAnsi="宋体" w:eastAsia="宋体" w:cs="宋体"/>
      <w:color w:val="000000"/>
      <w:sz w:val="19"/>
      <w:szCs w:val="19"/>
      <w:u w:val="none"/>
    </w:rPr>
  </w:style>
  <w:style w:type="paragraph" w:customStyle="1" w:styleId="26">
    <w:name w:val="正文 含缩进"/>
    <w:basedOn w:val="1"/>
    <w:autoRedefine/>
    <w:qFormat/>
    <w:uiPriority w:val="0"/>
    <w:pPr>
      <w:ind w:firstLine="424" w:firstLineChars="202"/>
      <w:jc w:val="left"/>
    </w:pPr>
  </w:style>
  <w:style w:type="character" w:customStyle="1" w:styleId="27">
    <w:name w:val="批注文字 字符"/>
    <w:basedOn w:val="17"/>
    <w:link w:val="7"/>
    <w:autoRedefine/>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4"/>
    <w:autoRedefine/>
    <w:qFormat/>
    <w:uiPriority w:val="0"/>
    <w:rPr>
      <w:rFonts w:asciiTheme="minorHAnsi" w:hAnsiTheme="minorHAnsi" w:eastAsiaTheme="minorEastAsia" w:cstheme="minorBidi"/>
      <w:b/>
      <w:bCs/>
      <w:kern w:val="2"/>
      <w:sz w:val="21"/>
      <w:szCs w:val="24"/>
    </w:rPr>
  </w:style>
  <w:style w:type="character" w:customStyle="1" w:styleId="29">
    <w:name w:val="font81"/>
    <w:basedOn w:val="17"/>
    <w:autoRedefine/>
    <w:qFormat/>
    <w:uiPriority w:val="0"/>
    <w:rPr>
      <w:rFonts w:hint="eastAsia" w:ascii="宋体" w:hAnsi="宋体" w:eastAsia="宋体" w:cs="宋体"/>
      <w:b/>
      <w:bCs/>
      <w:color w:val="000000"/>
      <w:sz w:val="28"/>
      <w:szCs w:val="28"/>
      <w:u w:val="single"/>
    </w:rPr>
  </w:style>
  <w:style w:type="character" w:customStyle="1" w:styleId="30">
    <w:name w:val="font112"/>
    <w:basedOn w:val="17"/>
    <w:autoRedefine/>
    <w:qFormat/>
    <w:uiPriority w:val="0"/>
    <w:rPr>
      <w:rFonts w:hint="eastAsia" w:ascii="宋体" w:hAnsi="宋体" w:eastAsia="宋体" w:cs="宋体"/>
      <w:b/>
      <w:bCs/>
      <w:color w:val="000000"/>
      <w:sz w:val="22"/>
      <w:szCs w:val="22"/>
      <w:u w:val="none"/>
    </w:rPr>
  </w:style>
  <w:style w:type="character" w:customStyle="1" w:styleId="31">
    <w:name w:val="font71"/>
    <w:basedOn w:val="17"/>
    <w:autoRedefine/>
    <w:qFormat/>
    <w:uiPriority w:val="0"/>
    <w:rPr>
      <w:rFonts w:ascii="Calibri" w:hAnsi="Calibri" w:cs="Calibri"/>
      <w:color w:val="000000"/>
      <w:sz w:val="24"/>
      <w:szCs w:val="24"/>
      <w:u w:val="none"/>
    </w:rPr>
  </w:style>
  <w:style w:type="character" w:customStyle="1" w:styleId="32">
    <w:name w:val="font51"/>
    <w:basedOn w:val="17"/>
    <w:autoRedefine/>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2840</Words>
  <Characters>4893</Characters>
  <Lines>46</Lines>
  <Paragraphs>13</Paragraphs>
  <TotalTime>8</TotalTime>
  <ScaleCrop>false</ScaleCrop>
  <LinksUpToDate>false</LinksUpToDate>
  <CharactersWithSpaces>5101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2024-02-21T07:16:23Z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507A2D70246D4618BC26E8F02AC2E2EB_13</vt:lpwstr>
  </property>
</Properties>
</file>