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eastAsia="zh-CN"/>
        </w:rPr>
        <w:t>鹿溪智谷核心区绿廊景观</w:t>
      </w:r>
      <w:r>
        <w:rPr>
          <w:rFonts w:hint="eastAsia" w:ascii="黑体" w:hAnsi="黑体" w:eastAsia="黑体"/>
          <w:b/>
          <w:sz w:val="52"/>
          <w:szCs w:val="52"/>
        </w:rPr>
        <w:t>项目</w:t>
      </w:r>
    </w:p>
    <w:p>
      <w:pPr>
        <w:jc w:val="center"/>
        <w:rPr>
          <w:rFonts w:hint="eastAsia" w:eastAsia="黑体"/>
          <w:b/>
          <w:sz w:val="52"/>
          <w:szCs w:val="52"/>
          <w:lang w:eastAsia="zh-CN"/>
        </w:rPr>
      </w:pPr>
      <w:r>
        <w:rPr>
          <w:rFonts w:hint="eastAsia" w:ascii="黑体" w:hAnsi="黑体" w:eastAsia="黑体"/>
          <w:b/>
          <w:sz w:val="52"/>
          <w:szCs w:val="52"/>
          <w:lang w:eastAsia="zh-CN"/>
        </w:rPr>
        <w:t>现货</w:t>
      </w:r>
      <w:r>
        <w:rPr>
          <w:rFonts w:hint="eastAsia" w:ascii="黑体" w:hAnsi="黑体" w:eastAsia="黑体"/>
          <w:b/>
          <w:sz w:val="52"/>
          <w:szCs w:val="52"/>
        </w:rPr>
        <w:t>钢板采购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20230221</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21日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我公司拟以公开招标的方式，采购一批现货钢板，欢迎贵司按本邀请函的内容进行投标，具体事项如下：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招标项目名称：鹿溪智谷核心区绿廊景观项目现货钢板采购招标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开标时间、地址：2023年2月22日下午14:00，兴天元钢桥202办公室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招标内容：现货</w:t>
      </w:r>
      <w:r>
        <w:rPr>
          <w:rFonts w:hint="eastAsia"/>
          <w:color w:val="auto"/>
          <w:sz w:val="24"/>
          <w:szCs w:val="24"/>
          <w:lang w:val="en-US" w:eastAsia="zh-CN"/>
        </w:rPr>
        <w:t>钢板，材质为Q355C，共计采购619.844吨，交货期为2023年2月27日，规格及技术参数详见附件《报价清单表》。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无预付，所有货物到厂，甲方3日内支付至到厂货物货款的95%，剩余5%待第三方检验结果合格后15日内支付。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甲方在货前，乙方须开具相应货款金额的增值税专用发票并提供对应的材质证书。甲方支付最后一笔货款前，供方须开具全部货物足额的增值税专用发票。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200万元；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4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8"/>
        <w:gridCol w:w="1709"/>
        <w:gridCol w:w="548"/>
        <w:gridCol w:w="677"/>
        <w:gridCol w:w="1063"/>
        <w:gridCol w:w="1064"/>
        <w:gridCol w:w="1063"/>
        <w:gridCol w:w="548"/>
        <w:gridCol w:w="1192"/>
        <w:gridCol w:w="1845"/>
        <w:gridCol w:w="2277"/>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8" w:hRule="atLeast"/>
        </w:trPr>
        <w:tc>
          <w:tcPr>
            <w:tcW w:w="1414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现货钢板报价明细表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 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厚（mm）</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宽（mm）</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长（mm）</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重量（t）</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收货地址及交货期</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137750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17.301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2023年2月27</w:t>
            </w:r>
            <w:bookmarkStart w:id="19" w:name="_GoBack"/>
            <w:bookmarkEnd w:id="19"/>
            <w:r>
              <w:rPr>
                <w:rFonts w:hint="eastAsia" w:ascii="宋体" w:hAnsi="宋体" w:eastAsia="宋体" w:cs="宋体"/>
                <w:i w:val="0"/>
                <w:color w:val="000000"/>
                <w:kern w:val="0"/>
                <w:sz w:val="24"/>
                <w:szCs w:val="24"/>
                <w:u w:val="none"/>
                <w:lang w:val="en-US" w:eastAsia="zh-CN" w:bidi="ar"/>
              </w:rPr>
              <w:t>日前送至四川省德阳市图们江路29号</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价格为含税含运费，一票制（13%增值税），到厂价。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34800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4.808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134935</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21.185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20047</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3.462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275603</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43.270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9770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33.132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9440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3.913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323860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61.015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66462</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13.774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202457</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38.143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40856</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8.467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365407</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86.053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405299</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97.993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30555</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6.716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24902</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5.473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44830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10.839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280320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77.018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9770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12.271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1.319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10420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9.816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3.040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5.829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8380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4.934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GB/T1591-2018</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Q355C</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199339</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50.074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667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619.844 </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3" w:hRule="atLeast"/>
        </w:trPr>
        <w:tc>
          <w:tcPr>
            <w:tcW w:w="141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技术要求：1.交货状态：热轧 ；2.尺寸、外形精度要求：GB/T709-2006，厚度偏差满足N类要求； 3.耐候性及厚度方向性能要求：无；4.钢板探伤要求：无；   5.预处理要求：无  6.特殊要求：无。</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0000FF"/>
          <w:w w:val="82"/>
          <w:kern w:val="0"/>
          <w:sz w:val="28"/>
          <w:szCs w:val="28"/>
        </w:rPr>
      </w:pPr>
      <w:r>
        <w:rPr>
          <w:rFonts w:hint="eastAsia"/>
          <w:w w:val="82"/>
          <w:kern w:val="0"/>
          <w:sz w:val="28"/>
          <w:szCs w:val="28"/>
        </w:rPr>
        <w:t xml:space="preserve">3.1 交货期为： </w:t>
      </w:r>
      <w:r>
        <w:rPr>
          <w:rFonts w:hint="eastAsia"/>
          <w:color w:val="0000FF"/>
          <w:w w:val="82"/>
          <w:kern w:val="0"/>
          <w:sz w:val="28"/>
          <w:szCs w:val="28"/>
        </w:rPr>
        <w:t>自本合同生效之日起，</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年</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月</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日前交完</w:t>
      </w:r>
      <w:r>
        <w:rPr>
          <w:rFonts w:hint="eastAsia"/>
          <w:color w:val="0000FF"/>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none"/>
        </w:rPr>
      </w:pPr>
      <w:r>
        <w:rPr>
          <w:rFonts w:hint="eastAsia"/>
          <w:w w:val="82"/>
          <w:kern w:val="0"/>
          <w:sz w:val="28"/>
          <w:szCs w:val="28"/>
          <w:highlight w:val="none"/>
          <w:lang w:val="en-US" w:eastAsia="zh-CN"/>
        </w:rPr>
        <w:t>4</w:t>
      </w:r>
      <w:r>
        <w:rPr>
          <w:rFonts w:hint="eastAsia"/>
          <w:w w:val="82"/>
          <w:kern w:val="0"/>
          <w:sz w:val="28"/>
          <w:szCs w:val="28"/>
          <w:highlight w:val="none"/>
        </w:rPr>
        <w:t>.1 无预付，所有货物到厂，甲方3日内支付至</w:t>
      </w:r>
      <w:r>
        <w:rPr>
          <w:rFonts w:hint="eastAsia"/>
          <w:w w:val="82"/>
          <w:kern w:val="0"/>
          <w:sz w:val="28"/>
          <w:szCs w:val="28"/>
          <w:highlight w:val="none"/>
          <w:lang w:eastAsia="zh-CN"/>
        </w:rPr>
        <w:t>合同总额</w:t>
      </w:r>
      <w:r>
        <w:rPr>
          <w:rFonts w:hint="eastAsia"/>
          <w:w w:val="82"/>
          <w:kern w:val="0"/>
          <w:sz w:val="28"/>
          <w:szCs w:val="28"/>
          <w:highlight w:val="none"/>
        </w:rPr>
        <w:t>的95%，剩余5%待第三方检验结果合格后15日内支付。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4.2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3</w:t>
      </w:r>
      <w:r>
        <w:rPr>
          <w:rFonts w:hint="eastAsia"/>
          <w:w w:val="82"/>
          <w:kern w:val="0"/>
          <w:sz w:val="28"/>
          <w:szCs w:val="28"/>
        </w:rPr>
        <w:t xml:space="preserve"> 需方在支付</w:t>
      </w:r>
      <w:r>
        <w:rPr>
          <w:rFonts w:hint="eastAsia"/>
          <w:w w:val="82"/>
          <w:kern w:val="0"/>
          <w:sz w:val="28"/>
          <w:szCs w:val="28"/>
          <w:lang w:eastAsia="zh-CN"/>
        </w:rPr>
        <w:t>货</w:t>
      </w:r>
      <w:r>
        <w:rPr>
          <w:rFonts w:hint="eastAsia"/>
          <w:w w:val="82"/>
          <w:kern w:val="0"/>
          <w:sz w:val="28"/>
          <w:szCs w:val="28"/>
        </w:rPr>
        <w:t>款前，供方须开具相应货款金额的增值税专用发票并提供对应的材质证书（一原四复）。需方支付最后一笔货款前，供方须开具全部货物足额的增值税专用发票。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152045791"/>
      <w:bookmarkStart w:id="2" w:name="_Toc31001"/>
      <w:bookmarkStart w:id="3" w:name="_Toc152042580"/>
      <w:bookmarkStart w:id="4" w:name="_Toc427138923"/>
      <w:bookmarkStart w:id="5" w:name="_Toc427762912"/>
      <w:bookmarkStart w:id="6" w:name="_Toc238797663"/>
      <w:bookmarkStart w:id="7" w:name="_Toc238552301"/>
      <w:bookmarkStart w:id="8" w:name="_Toc144974860"/>
      <w:bookmarkStart w:id="9" w:name="_Toc423886643"/>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1214756"/>
    <w:rsid w:val="0BF04F64"/>
    <w:rsid w:val="0D074A6C"/>
    <w:rsid w:val="18052C6B"/>
    <w:rsid w:val="199D3F96"/>
    <w:rsid w:val="1A39185D"/>
    <w:rsid w:val="1BDE7FE5"/>
    <w:rsid w:val="1F07713E"/>
    <w:rsid w:val="1F7F1DD4"/>
    <w:rsid w:val="1FB853E9"/>
    <w:rsid w:val="23BA2F97"/>
    <w:rsid w:val="244C7E72"/>
    <w:rsid w:val="2A08297F"/>
    <w:rsid w:val="2B16337F"/>
    <w:rsid w:val="2DE62848"/>
    <w:rsid w:val="2EA756E3"/>
    <w:rsid w:val="307D48E1"/>
    <w:rsid w:val="32C23872"/>
    <w:rsid w:val="34A018E6"/>
    <w:rsid w:val="3C0D345A"/>
    <w:rsid w:val="3D3709FF"/>
    <w:rsid w:val="3DFB4929"/>
    <w:rsid w:val="433A3292"/>
    <w:rsid w:val="43B167AA"/>
    <w:rsid w:val="45AB028E"/>
    <w:rsid w:val="45B8114E"/>
    <w:rsid w:val="45D251D7"/>
    <w:rsid w:val="483D156B"/>
    <w:rsid w:val="48F5691C"/>
    <w:rsid w:val="49904129"/>
    <w:rsid w:val="4AA97B9F"/>
    <w:rsid w:val="4D1F19DC"/>
    <w:rsid w:val="548A263B"/>
    <w:rsid w:val="588E0972"/>
    <w:rsid w:val="5A500518"/>
    <w:rsid w:val="5A767B16"/>
    <w:rsid w:val="5ACC43F0"/>
    <w:rsid w:val="5B3240FE"/>
    <w:rsid w:val="5D592468"/>
    <w:rsid w:val="5D942CDE"/>
    <w:rsid w:val="5F03343C"/>
    <w:rsid w:val="60B41562"/>
    <w:rsid w:val="636360E0"/>
    <w:rsid w:val="6366186B"/>
    <w:rsid w:val="63E944D3"/>
    <w:rsid w:val="64F56445"/>
    <w:rsid w:val="65C558CC"/>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1</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2023-02-21T06:23:58Z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